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5B" w:rsidRDefault="00DC1760">
      <w:pPr>
        <w:ind w:left="5760" w:firstLine="720"/>
        <w:jc w:val="center"/>
      </w:pPr>
      <w:bookmarkStart w:id="0" w:name="_GoBack"/>
      <w:bookmarkEnd w:id="0"/>
      <w:r>
        <w:t xml:space="preserve">         УТВЕРЖДЕНЫ</w:t>
      </w:r>
    </w:p>
    <w:p w:rsidR="00894D5B" w:rsidRDefault="00DC1760">
      <w:pPr>
        <w:ind w:left="5040" w:firstLine="720"/>
        <w:jc w:val="center"/>
      </w:pPr>
      <w:r>
        <w:t xml:space="preserve">                    приказом Росстата</w:t>
      </w:r>
    </w:p>
    <w:p w:rsidR="00894D5B" w:rsidRDefault="00DC1760">
      <w:pPr>
        <w:spacing w:line="360" w:lineRule="auto"/>
        <w:ind w:left="4678" w:firstLine="567"/>
        <w:jc w:val="center"/>
      </w:pPr>
      <w:r>
        <w:t xml:space="preserve">                           от 19.01.2024 № 15         </w:t>
      </w:r>
    </w:p>
    <w:p w:rsidR="00894D5B" w:rsidRDefault="00894D5B">
      <w:pPr>
        <w:spacing w:line="312" w:lineRule="auto"/>
        <w:ind w:firstLine="0"/>
        <w:rPr>
          <w:b/>
        </w:rPr>
      </w:pPr>
    </w:p>
    <w:p w:rsidR="00894D5B" w:rsidRDefault="00894D5B">
      <w:pPr>
        <w:spacing w:line="312" w:lineRule="auto"/>
        <w:ind w:firstLine="0"/>
        <w:jc w:val="left"/>
        <w:rPr>
          <w:b/>
        </w:rPr>
      </w:pPr>
    </w:p>
    <w:p w:rsidR="00894D5B" w:rsidRDefault="00894D5B">
      <w:pPr>
        <w:spacing w:line="312" w:lineRule="auto"/>
        <w:ind w:firstLine="0"/>
        <w:jc w:val="left"/>
        <w:rPr>
          <w:b/>
        </w:rPr>
      </w:pPr>
    </w:p>
    <w:p w:rsidR="00894D5B" w:rsidRDefault="00894D5B">
      <w:pPr>
        <w:spacing w:line="192" w:lineRule="auto"/>
        <w:ind w:firstLine="0"/>
        <w:jc w:val="left"/>
        <w:rPr>
          <w:b/>
        </w:rPr>
      </w:pPr>
    </w:p>
    <w:p w:rsidR="00894D5B" w:rsidRDefault="00DC1760">
      <w:pPr>
        <w:ind w:firstLine="0"/>
        <w:jc w:val="center"/>
        <w:rPr>
          <w:b/>
          <w:bCs/>
        </w:rPr>
      </w:pPr>
      <w:r>
        <w:rPr>
          <w:b/>
          <w:bCs/>
        </w:rPr>
        <w:t>УКАЗАНИЯ</w:t>
      </w:r>
    </w:p>
    <w:p w:rsidR="00894D5B" w:rsidRDefault="00DC1760">
      <w:pPr>
        <w:ind w:firstLine="0"/>
        <w:jc w:val="center"/>
        <w:rPr>
          <w:b/>
          <w:bCs/>
        </w:rPr>
      </w:pPr>
      <w:r>
        <w:rPr>
          <w:b/>
          <w:bCs/>
        </w:rPr>
        <w:t>по заполнению формы федерального статистического наблюдения № С-1 «Сведения о вводе в эксплуатацию зданий и сооружений»</w:t>
      </w:r>
    </w:p>
    <w:p w:rsidR="00894D5B" w:rsidRDefault="00894D5B">
      <w:pPr>
        <w:keepNext/>
        <w:spacing w:line="480" w:lineRule="auto"/>
        <w:ind w:firstLine="0"/>
        <w:outlineLvl w:val="2"/>
        <w:rPr>
          <w:b/>
        </w:rPr>
      </w:pPr>
    </w:p>
    <w:p w:rsidR="00894D5B" w:rsidRDefault="00DC1760">
      <w:pPr>
        <w:keepNext/>
        <w:spacing w:after="240"/>
        <w:ind w:firstLine="0"/>
        <w:jc w:val="center"/>
        <w:outlineLvl w:val="2"/>
        <w:rPr>
          <w:b/>
        </w:rPr>
      </w:pPr>
      <w:r>
        <w:rPr>
          <w:b/>
        </w:rPr>
        <w:t>I. ОБЩИЕ ПОЛОЖЕНИЯ</w:t>
      </w:r>
    </w:p>
    <w:p w:rsidR="00894D5B" w:rsidRDefault="00DC1760">
      <w:pPr>
        <w:shd w:val="clear" w:color="auto" w:fill="FFFFFF"/>
        <w:spacing w:line="32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Первичные статистические данные (далее – данные) по форме федерального статистического наблюдения № С-1 «Сведения о вводе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 в эксплуатацию зданий и сооружений» (далее – форма), утвержденной приказом Росстата от 14 октября 2022 г. № 70</w:t>
      </w:r>
      <w:r>
        <w:rPr>
          <w:rFonts w:eastAsia="Calibri"/>
          <w:lang w:eastAsia="en-US"/>
        </w:rPr>
        <w:t xml:space="preserve">3 «Об утверждении формы федерального статистического наблюдения № С-1 «Сведения о вводе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эксплуатацию зданий и сооружений» для организации федерального статистического наблюдения за строительством, инвестициями в нефинансовые активы и жилищно-коммунальны</w:t>
      </w:r>
      <w:r>
        <w:rPr>
          <w:rFonts w:eastAsia="Calibri"/>
          <w:lang w:eastAsia="en-US"/>
        </w:rPr>
        <w:t xml:space="preserve">м хозяйством», предоставляют юридические лица (организации-застройщики), которым выдано разрешение на ввод объектов капитального строительства в эксплуатацию, соответствующие документы о готовности объектов к эксплуатации, действующие </w:t>
      </w:r>
      <w:r>
        <w:rPr>
          <w:rFonts w:eastAsia="Calibri"/>
          <w:lang w:eastAsia="en-US"/>
        </w:rPr>
        <w:br/>
        <w:t>на территориях Донец</w:t>
      </w:r>
      <w:r>
        <w:rPr>
          <w:rFonts w:eastAsia="Calibri"/>
          <w:lang w:eastAsia="en-US"/>
        </w:rPr>
        <w:t xml:space="preserve">кой Народной Республики, Луганской Народной Республики, Запорожской и Херсонской областей в переходный период, </w:t>
      </w:r>
      <w:r>
        <w:rPr>
          <w:rFonts w:eastAsia="Calibri"/>
          <w:lang w:eastAsia="en-US"/>
        </w:rPr>
        <w:br/>
        <w:t>а также юридические лица, имеющие на балансе предприятий объекты незавершенного строительства.</w:t>
      </w:r>
    </w:p>
    <w:p w:rsidR="00894D5B" w:rsidRDefault="00DC1760">
      <w:pPr>
        <w:shd w:val="clear" w:color="auto" w:fill="FFFFFF"/>
        <w:spacing w:line="324" w:lineRule="auto"/>
        <w:rPr>
          <w:rFonts w:eastAsia="Calibri"/>
          <w:lang w:eastAsia="en-US"/>
        </w:rPr>
      </w:pPr>
      <w:bookmarkStart w:id="1" w:name="dst2881"/>
      <w:bookmarkStart w:id="2" w:name="dst2918"/>
      <w:bookmarkEnd w:id="1"/>
      <w:bookmarkEnd w:id="2"/>
      <w:r>
        <w:rPr>
          <w:rFonts w:eastAsia="Calibri"/>
          <w:lang w:eastAsia="en-US"/>
        </w:rPr>
        <w:t>Форму предоставляют респонденты (организации-заст</w:t>
      </w:r>
      <w:r>
        <w:rPr>
          <w:rFonts w:eastAsia="Calibri"/>
          <w:lang w:eastAsia="en-US"/>
        </w:rPr>
        <w:t xml:space="preserve">ройщики) всех видов экономической деятельности, независимо от формы собственности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организационно-правовой формы хозяйствующих субъектов, осуществляющие строительство и ввод объектов в эксплуатацию, а также юридические лица, которые ввели объекты капитал</w:t>
      </w:r>
      <w:r>
        <w:rPr>
          <w:rFonts w:eastAsia="Calibri"/>
          <w:lang w:eastAsia="en-US"/>
        </w:rPr>
        <w:t xml:space="preserve">ьного строительства, </w:t>
      </w:r>
      <w:r>
        <w:rPr>
          <w:rFonts w:eastAsia="Calibri"/>
          <w:lang w:eastAsia="en-US"/>
        </w:rPr>
        <w:br/>
        <w:t xml:space="preserve">в отношении которых выдача разрешения на строительство не требуется </w:t>
      </w:r>
      <w:r>
        <w:rPr>
          <w:rFonts w:eastAsia="Calibri"/>
          <w:lang w:eastAsia="en-US"/>
        </w:rPr>
        <w:br/>
        <w:t xml:space="preserve">в соответствии с пунктами 4.2, 4.4, 4.5, 5 части 17 статьи 51 Градостроительного кодекса Российской Федерации, постановлением </w:t>
      </w:r>
      <w:r>
        <w:rPr>
          <w:rFonts w:eastAsia="Calibri"/>
          <w:lang w:eastAsia="en-US"/>
        </w:rPr>
        <w:lastRenderedPageBreak/>
        <w:t>Правительства Российской Федерации от 1</w:t>
      </w:r>
      <w:r>
        <w:rPr>
          <w:rFonts w:eastAsia="Calibri"/>
          <w:lang w:eastAsia="en-US"/>
        </w:rPr>
        <w:t xml:space="preserve">2 ноября 2020 г. № 1816 </w:t>
      </w:r>
      <w:r>
        <w:rPr>
          <w:rFonts w:eastAsia="Calibri"/>
          <w:lang w:eastAsia="en-US"/>
        </w:rPr>
        <w:br/>
        <w:t>и на которые распространяется уведомительный порядок о вводе в действие объектов.</w:t>
      </w:r>
    </w:p>
    <w:p w:rsidR="00894D5B" w:rsidRDefault="00DC1760">
      <w:pPr>
        <w:tabs>
          <w:tab w:val="left" w:pos="13200"/>
        </w:tabs>
        <w:spacing w:after="40" w:line="324" w:lineRule="auto"/>
        <w:rPr>
          <w:color w:val="000000"/>
          <w:szCs w:val="24"/>
        </w:rPr>
      </w:pPr>
      <w:r>
        <w:rPr>
          <w:szCs w:val="24"/>
        </w:rPr>
        <w:t xml:space="preserve">Перечень респондентов по форме № С-1 формируется на основе административных данных </w:t>
      </w:r>
      <w:r>
        <w:rPr>
          <w:color w:val="000000"/>
          <w:szCs w:val="24"/>
        </w:rPr>
        <w:t xml:space="preserve">федеральных органов исполнительной власти, органов исполнительной </w:t>
      </w:r>
      <w:r>
        <w:rPr>
          <w:color w:val="000000"/>
          <w:szCs w:val="24"/>
        </w:rPr>
        <w:t>власти субъекта Российской Федерации, органов местного самоуправления,  уполномоченных на выдачу разрешений (уведомлений) на строительство и ввод объектов в эксплуатацию.</w:t>
      </w:r>
    </w:p>
    <w:p w:rsidR="00894D5B" w:rsidRDefault="00DC1760">
      <w:pPr>
        <w:shd w:val="clear" w:color="auto" w:fill="FFFFFF"/>
        <w:spacing w:line="32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 только при наличии наблюдаемого явления. </w:t>
      </w:r>
      <w:r>
        <w:rPr>
          <w:rFonts w:eastAsia="Calibri"/>
          <w:lang w:eastAsia="en-US"/>
        </w:rPr>
        <w:br/>
        <w:t>В случае отсутствия явления данные по форме не пр</w:t>
      </w:r>
      <w:r>
        <w:rPr>
          <w:rFonts w:eastAsia="Calibri"/>
          <w:lang w:eastAsia="en-US"/>
        </w:rPr>
        <w:t>едоставляются.</w:t>
      </w:r>
    </w:p>
    <w:p w:rsidR="00894D5B" w:rsidRDefault="00DC1760">
      <w:pPr>
        <w:widowControl w:val="0"/>
        <w:shd w:val="clear" w:color="auto" w:fill="FFFFFF"/>
        <w:spacing w:line="324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наличии у юридического лица обособленных подразделений</w:t>
      </w:r>
      <w:bookmarkStart w:id="3" w:name="_Ref61535343"/>
      <w:r>
        <w:rPr>
          <w:rStyle w:val="af6"/>
          <w:rFonts w:eastAsia="Calibri"/>
          <w:lang w:eastAsia="en-US"/>
        </w:rPr>
        <w:footnoteReference w:id="1"/>
      </w:r>
      <w:bookmarkEnd w:id="3"/>
      <w:r>
        <w:rPr>
          <w:rFonts w:eastAsia="Calibri"/>
          <w:lang w:eastAsia="en-US"/>
        </w:rPr>
        <w:t xml:space="preserve"> настоящая форма</w:t>
      </w:r>
      <w:r>
        <w:t xml:space="preserve"> </w:t>
      </w:r>
      <w:r>
        <w:rPr>
          <w:rFonts w:eastAsia="Calibri"/>
          <w:lang w:eastAsia="en-US"/>
        </w:rPr>
        <w:t>заполняется как по каждому обособленному подразделению, так и по юридическому лицу без этих обособленных подразделений.</w:t>
      </w:r>
    </w:p>
    <w:p w:rsidR="00894D5B" w:rsidRDefault="00DC1760">
      <w:pPr>
        <w:shd w:val="clear" w:color="auto" w:fill="FFFFFF"/>
        <w:spacing w:line="324" w:lineRule="auto"/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Форму предоставляют также филиалы, представит</w:t>
      </w:r>
      <w:r>
        <w:rPr>
          <w:rFonts w:eastAsia="Calibri"/>
          <w:lang w:eastAsia="en-US"/>
        </w:rPr>
        <w:t xml:space="preserve">ельства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подразделения, действующих на территории Российской Федерации иностранных организаций в порядке, установленном для юридических лиц.</w:t>
      </w:r>
    </w:p>
    <w:p w:rsidR="00894D5B" w:rsidRDefault="00DC1760">
      <w:pPr>
        <w:shd w:val="clear" w:color="auto" w:fill="FFFFFF"/>
        <w:spacing w:line="32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наличии у юридического лица обособленных подразделений, осуществляющих деятельность за пределами Российской Ф</w:t>
      </w:r>
      <w:r>
        <w:rPr>
          <w:rFonts w:eastAsia="Calibri"/>
          <w:lang w:eastAsia="en-US"/>
        </w:rPr>
        <w:t xml:space="preserve">едерации, данные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по ним в настоящую форму не включаются.</w:t>
      </w:r>
    </w:p>
    <w:p w:rsidR="00894D5B" w:rsidRDefault="00DC1760">
      <w:pPr>
        <w:shd w:val="clear" w:color="auto" w:fill="FFFFFF"/>
        <w:spacing w:line="32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юридического лица назначает должностных лиц, уполномоченных предоставлять данные от имени юридического лица (в том числе в обособленных подразделениях).</w:t>
      </w:r>
    </w:p>
    <w:p w:rsidR="00894D5B" w:rsidRDefault="00DC1760">
      <w:pPr>
        <w:widowControl w:val="0"/>
        <w:shd w:val="clear" w:color="auto" w:fill="FFFFFF"/>
        <w:spacing w:line="32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Организации, в отношении которых</w:t>
      </w:r>
      <w:r>
        <w:rPr>
          <w:rFonts w:eastAsia="Calibri"/>
          <w:lang w:eastAsia="en-US"/>
        </w:rPr>
        <w:t xml:space="preserve">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о банкротстве, предоставляют данные по указанной форме до завершения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соответств</w:t>
      </w:r>
      <w:r>
        <w:rPr>
          <w:rFonts w:eastAsia="Calibri"/>
          <w:lang w:eastAsia="en-US"/>
        </w:rPr>
        <w:t xml:space="preserve">ии со статьей 149 Закона о банкротстве конкурсного производства и внесения в Единый государственный реестр юридических лиц записи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lastRenderedPageBreak/>
        <w:t>о ликвидации должника.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реорганизации юридического лица в форме преобразования юридическое лицо, являющееся правопреемнико</w:t>
      </w:r>
      <w:r>
        <w:rPr>
          <w:rFonts w:eastAsia="Calibri"/>
          <w:lang w:eastAsia="en-US"/>
        </w:rPr>
        <w:t>м, должно предоставлять данные по форме в срок, указанный на бланке формы, с начала отчетного месяца, в котором произошла реорганизация юридического лица (включение сведений о реорганизованном юридическом лице в Единый государственный реестр юридических ли</w:t>
      </w:r>
      <w:r>
        <w:rPr>
          <w:rFonts w:eastAsia="Calibri"/>
          <w:lang w:eastAsia="en-US"/>
        </w:rPr>
        <w:t>ц).</w:t>
      </w:r>
    </w:p>
    <w:p w:rsidR="00894D5B" w:rsidRDefault="00DC1760">
      <w:pPr>
        <w:shd w:val="clear" w:color="auto" w:fill="FFFFFF"/>
        <w:spacing w:line="355" w:lineRule="auto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В форме, содержащей данные по обособленному </w:t>
      </w:r>
      <w:r>
        <w:rPr>
          <w:rFonts w:eastAsia="Calibri"/>
          <w:lang w:eastAsia="en-US"/>
        </w:rPr>
        <w:t xml:space="preserve">подразделению юридического лица, указывается наименование обособленного подразделения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юридического лица, к которому оно относится.</w:t>
      </w:r>
    </w:p>
    <w:p w:rsidR="00894D5B" w:rsidRDefault="00DC1760">
      <w:pPr>
        <w:shd w:val="clear" w:color="auto" w:fill="FFFFFF"/>
        <w:spacing w:line="355" w:lineRule="auto"/>
      </w:pPr>
      <w:r>
        <w:t xml:space="preserve">По строке «Почтовый адрес» указывается наименование субъекта Российской Федерации, юридический адрес с почтовым индексом, </w:t>
      </w:r>
      <w:r>
        <w:t xml:space="preserve">указанный </w:t>
      </w:r>
      <w:r>
        <w:rPr>
          <w:rFonts w:eastAsia="Calibri"/>
          <w:lang w:eastAsia="en-US"/>
        </w:rPr>
        <w:br w:type="textWrapping" w:clear="all"/>
      </w:r>
      <w:r>
        <w:t>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кодовой части титульного ли</w:t>
      </w:r>
      <w:r>
        <w:rPr>
          <w:rFonts w:eastAsia="Calibri"/>
          <w:lang w:eastAsia="en-US"/>
        </w:rPr>
        <w:t xml:space="preserve">ста формы на основании Уведомления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о присвоении кода ОКПО (идентификационного номера), размещенного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сайте системы сбора отчетности Росстата в информационно-телекоммуникационной сети «Интернет» по адресу: https://websbor.</w:t>
      </w:r>
      <w:r>
        <w:rPr>
          <w:rFonts w:eastAsia="Calibri"/>
          <w:lang w:val="en-US" w:eastAsia="en-US"/>
        </w:rPr>
        <w:t>rosstat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>.ru/online/info</w:t>
      </w:r>
      <w:r>
        <w:rPr>
          <w:rFonts w:eastAsia="Calibri"/>
          <w:lang w:eastAsia="en-US"/>
        </w:rPr>
        <w:t>, отчитывающаяся организация проставляет: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код по Общероссийскому классификатору предприятий и организаций (ОКПО) – для юридического лица, не имеющего обособленных подразделений;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идентификационный номер – для обособленных подразделений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для головного подр</w:t>
      </w:r>
      <w:r>
        <w:rPr>
          <w:rFonts w:eastAsia="Calibri"/>
          <w:lang w:eastAsia="en-US"/>
        </w:rPr>
        <w:t>азделения юридического лица.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lastRenderedPageBreak/>
        <w:t>или местонахождение которого соответствует зарегистрированному юридическому адресу.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Респонденты</w:t>
      </w:r>
      <w:r>
        <w:rPr>
          <w:rFonts w:eastAsia="Calibri"/>
          <w:lang w:eastAsia="en-US"/>
        </w:rPr>
        <w:t xml:space="preserve"> (организации-застройщики), осуществляющие строительство и ввод в эксплуатацию зданий и сооружений на территории двух и более субъектов Российской Федерации, заполняют форму отдельно </w:t>
      </w:r>
      <w:r>
        <w:rPr>
          <w:rFonts w:eastAsia="Calibri"/>
          <w:lang w:eastAsia="en-US"/>
        </w:rPr>
        <w:br/>
        <w:t xml:space="preserve">для территории каждого из этих субъектов Российской Федерации </w:t>
      </w:r>
      <w:r>
        <w:rPr>
          <w:rFonts w:eastAsia="Calibri"/>
          <w:lang w:eastAsia="en-US"/>
        </w:rPr>
        <w:br/>
        <w:t>и предост</w:t>
      </w:r>
      <w:r>
        <w:rPr>
          <w:rFonts w:eastAsia="Calibri"/>
          <w:lang w:eastAsia="en-US"/>
        </w:rPr>
        <w:t>авляют ее в территориальные органы Росстата по месту расположения объектов капитального строительства. При этом в кодовой зоне формы следует указать код ОКПО организации-застройщика или идентификационный номер объекта капитального строительства, который ус</w:t>
      </w:r>
      <w:r>
        <w:rPr>
          <w:rFonts w:eastAsia="Calibri"/>
          <w:lang w:eastAsia="en-US"/>
        </w:rPr>
        <w:t xml:space="preserve">танавливается территориальным органом Росстата по месту расположения объектов капитального строительства и ввода в эксплуатацию зданий и сооружений </w:t>
      </w:r>
      <w:r>
        <w:rPr>
          <w:rFonts w:eastAsia="Calibri"/>
          <w:lang w:eastAsia="en-US"/>
        </w:rPr>
        <w:br/>
        <w:t>и размещается по адресу: https://websbor.</w:t>
      </w:r>
      <w:r>
        <w:rPr>
          <w:rFonts w:eastAsia="Calibri"/>
          <w:lang w:val="en-US" w:eastAsia="en-US"/>
        </w:rPr>
        <w:t>rosstat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>.ru/online/info.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линейному строительству (нефтепрово</w:t>
      </w:r>
      <w:r>
        <w:rPr>
          <w:rFonts w:eastAsia="Calibri"/>
          <w:lang w:eastAsia="en-US"/>
        </w:rPr>
        <w:t xml:space="preserve">дам, линиям связи, железным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 автомобильным дорогам и тому подобному), расположенному на нескольких территориях (республик, краев, областей и других), ввод в действие объектов по каждой из них определяется исходя из объемов ввода, относящихся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 отдельным</w:t>
      </w:r>
      <w:r>
        <w:rPr>
          <w:rFonts w:eastAsia="Calibri"/>
          <w:lang w:eastAsia="en-US"/>
        </w:rPr>
        <w:t xml:space="preserve"> участкам и объектам этой стройки, находящимся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соответствующей территории.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долевом строительстве многоквартирных домов и иных объектов недвижимости форма предоставляется одним юридическим лицом – заказчиком (застройщиком) по объекту в целом.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</w:t>
      </w:r>
      <w:r>
        <w:rPr>
          <w:rFonts w:eastAsia="Calibri"/>
          <w:lang w:eastAsia="en-US"/>
        </w:rPr>
        <w:t xml:space="preserve">ия понятий в настоящих указаниях приведены исключительно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целях заполнения формы № С-1.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Данные предоставляются в адреса и сроки, указанные на форме.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Организации-застройщики предоставляют данные: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разделах 1, 2, 3, 4 – по жилым и нежилым зданиям, жилым помещениям, жилым единицам в жилых и нежилых зданиях, по мощностям введенных объектов в нежилых зданиях и сооружений, на которые были оформлены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установленном порядке разрешение на ввод объектов в</w:t>
      </w:r>
      <w:r>
        <w:rPr>
          <w:rFonts w:eastAsia="Calibri"/>
          <w:lang w:eastAsia="en-US"/>
        </w:rPr>
        <w:t xml:space="preserve"> эксплуатацию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или уведомление о соответствии построенных или реконструированных </w:t>
      </w:r>
      <w:r>
        <w:rPr>
          <w:rFonts w:eastAsia="Calibri"/>
          <w:lang w:eastAsia="en-US"/>
        </w:rPr>
        <w:lastRenderedPageBreak/>
        <w:t xml:space="preserve">объектов индивидуального жилищного строительства или садового дома требованиям законодательства о градостроительной деятельности, а также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по мощностям введенных объектов и со</w:t>
      </w:r>
      <w:r>
        <w:rPr>
          <w:rFonts w:eastAsia="Calibri"/>
          <w:lang w:eastAsia="en-US"/>
        </w:rPr>
        <w:t>оружений, в отношении которых действует уведомительный порядок, – за месяц, в котором была осуществлена выдача разрешений или подписан акт приемки законченного строительством объекта, оформленного в установленном порядке;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разделе 5 – по зданиям и сооруже</w:t>
      </w:r>
      <w:r>
        <w:rPr>
          <w:rFonts w:eastAsia="Calibri"/>
          <w:lang w:eastAsia="en-US"/>
        </w:rPr>
        <w:t xml:space="preserve">ниям, находящимся в незавершенном строительстве; по зданиям и сооружениям, строительство которых временно приостановлено или законсервировано (финансирование которых в отчетном году не осуществлялось или были выделены средства только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консервацию), – по</w:t>
      </w:r>
      <w:r>
        <w:rPr>
          <w:rFonts w:eastAsia="Calibri"/>
          <w:lang w:eastAsia="en-US"/>
        </w:rPr>
        <w:t xml:space="preserve"> состоянию на конец года только в составе отчета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за декабрь.</w:t>
      </w:r>
    </w:p>
    <w:p w:rsidR="00894D5B" w:rsidRDefault="00DC1760">
      <w:pPr>
        <w:spacing w:line="355" w:lineRule="auto"/>
        <w:ind w:firstLine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Форма не является бухгалтерской отчетностью, отражение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в ней введенных зданий, сооружений, мощностей и объектов не зависит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от факта регистрации прав на созд</w:t>
      </w:r>
      <w:r>
        <w:rPr>
          <w:rFonts w:eastAsia="Calibri"/>
          <w:lang w:eastAsia="en-US"/>
        </w:rPr>
        <w:t>анное недвижимое имущество.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разделах 1 и 2 отражаются данные об объектах строительства,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которых выполнены в соответствии с требованиями проектной, нормативно-технической документации и приняты несущие, ограждающие и инженерные системы, обеспечивающ</w:t>
      </w:r>
      <w:r>
        <w:rPr>
          <w:rFonts w:eastAsia="Calibri"/>
          <w:lang w:eastAsia="en-US"/>
        </w:rPr>
        <w:t>ие в совокупности прочность и устойчивость здания (сооружения), защиту от атмосферных воздействий, температурный режим, безопасность пользователей, населения и окружающей среды.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Данные об указанных объектах отражаются при условии их ввода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эксплуатацию в</w:t>
      </w:r>
      <w:r>
        <w:rPr>
          <w:rFonts w:eastAsia="Calibri"/>
          <w:lang w:eastAsia="en-US"/>
        </w:rPr>
        <w:t xml:space="preserve"> установленном порядке.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разделах 1 и 2 отражаются данные: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 количестве законченных  строительством и введенных в эксплуатацию жилых и нежилых зданий по видам, их общей площади; об общей площади жилых помещений во введенных жилых и нежилых зданиях в соотв</w:t>
      </w:r>
      <w:r>
        <w:rPr>
          <w:rFonts w:eastAsia="Calibri"/>
          <w:lang w:eastAsia="en-US"/>
        </w:rPr>
        <w:t xml:space="preserve">етствии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с приложением № 1 к настоящим Указаниям;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мощностях введенных объектов в нежилых зданиях и сооружений </w:t>
      </w:r>
      <w:r>
        <w:rPr>
          <w:rFonts w:eastAsia="Calibri"/>
          <w:lang w:eastAsia="en-US"/>
        </w:rPr>
        <w:br/>
        <w:t xml:space="preserve">в натуральном  выражении в соответствии с перечнем  мощностей и объектов, </w:t>
      </w:r>
    </w:p>
    <w:p w:rsidR="00894D5B" w:rsidRDefault="00DC1760">
      <w:pPr>
        <w:shd w:val="clear" w:color="auto" w:fill="FFFFFF"/>
        <w:spacing w:line="355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приведенным в приложении № 2 к настоящим Указаниям.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Структура перечн</w:t>
      </w:r>
      <w:r>
        <w:rPr>
          <w:rFonts w:eastAsia="Calibri"/>
          <w:lang w:eastAsia="en-US"/>
        </w:rPr>
        <w:t xml:space="preserve">я мощностей в приложении № 2 к настоящим Указаниям соответствует группировкам Общероссийского классификатора видов экономической деятельности (ОКВЭД 2) ОК 029-2014, введенного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действие приказом Росстандарта от 31 января 2014 г. № 14-ст.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Данные о мощн</w:t>
      </w:r>
      <w:r>
        <w:rPr>
          <w:rFonts w:eastAsia="Calibri"/>
          <w:lang w:eastAsia="en-US"/>
        </w:rPr>
        <w:t xml:space="preserve">остях введенных объектов в нежилых зданиях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 сооружений приводятся в тех единицах измерения, которые указаны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форме и в приложении № 2 к настоящим Указаниям.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Единицы измерения, используемые в форме, приведены в соответствии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с Общероссийским классификатором единиц измерения (ОКЕИ), принятым постановлением Госстандарта России от 26 декабря 1994 г. № 366.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Объектами классификации в ОКЕИ являются единицы измерения, используемые в сферах производственной, социально-культурной деяте</w:t>
      </w:r>
      <w:r>
        <w:rPr>
          <w:rFonts w:eastAsia="Calibri"/>
          <w:lang w:eastAsia="en-US"/>
        </w:rPr>
        <w:t>льности, строительства, внутренней и внешней торговли. Следует обратить внимание на правильность заполнения единиц измерения вводимых мощностей и объектов. Если в единице измерения не указывается периодичность, например: «тонна в смену», «тыс т в год», «мл</w:t>
      </w:r>
      <w:r>
        <w:rPr>
          <w:rFonts w:eastAsia="Calibri"/>
          <w:lang w:eastAsia="en-US"/>
        </w:rPr>
        <w:t xml:space="preserve">н голов в год»,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а указывается просто «т», «тыс т», «млн голов», то подразумевается годовая (проектная) мощность.</w:t>
      </w:r>
    </w:p>
    <w:p w:rsidR="00894D5B" w:rsidRDefault="00DC1760">
      <w:pPr>
        <w:widowControl w:val="0"/>
        <w:shd w:val="clear" w:color="auto" w:fill="FFFFFF"/>
        <w:spacing w:line="355" w:lineRule="auto"/>
      </w:pPr>
      <w:r>
        <w:rPr>
          <w:rFonts w:eastAsia="Calibri"/>
          <w:lang w:eastAsia="en-US"/>
        </w:rPr>
        <w:t xml:space="preserve">6. Данные разделов 1, 3, 4, 5 заполняются в целых числах (единиц,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кв. метров, кв. метров общей площади).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Данные по вводу в действие мощностей</w:t>
      </w:r>
      <w:r>
        <w:rPr>
          <w:rFonts w:eastAsia="Calibri"/>
          <w:lang w:eastAsia="en-US"/>
        </w:rPr>
        <w:t xml:space="preserve"> в графе 6 раздела 2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по соответствующим кодам единиц измерения, согласно классификатору ОКЕИ, заполняются с двумя десятичными знаками после запятой, кроме данных с единицами измерения: штука, единица, место (ученическое, посадочное, рабочее), человек, кой</w:t>
      </w:r>
      <w:r>
        <w:rPr>
          <w:rFonts w:eastAsia="Calibri"/>
          <w:lang w:eastAsia="en-US"/>
        </w:rPr>
        <w:t xml:space="preserve">ка, посещение в смену, условный ремонт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год, комплект, секция, которые заполняются в целых числах.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7. Из общего итога по вводу жилых зданий и отдельных объектов коммунального хозяйства, здравоохранения, образования и культуры выделяются данные по сельско</w:t>
      </w:r>
      <w:r>
        <w:rPr>
          <w:rFonts w:eastAsia="Calibri"/>
          <w:lang w:eastAsia="en-US"/>
        </w:rPr>
        <w:t xml:space="preserve">й местности, то есть построенных в сельских населенных пунктах (селах, деревнях, станицах, аулах, кишлаках, хуторах и так </w:t>
      </w:r>
    </w:p>
    <w:p w:rsidR="00894D5B" w:rsidRDefault="00DC1760">
      <w:pPr>
        <w:shd w:val="clear" w:color="auto" w:fill="FFFFFF"/>
        <w:spacing w:line="355" w:lineRule="auto"/>
        <w:ind w:firstLine="0"/>
        <w:rPr>
          <w:rFonts w:eastAsia="Calibri"/>
          <w:lang w:eastAsia="en-US"/>
        </w:rPr>
      </w:pPr>
      <w:bookmarkStart w:id="4" w:name="sub_1038"/>
      <w:r>
        <w:rPr>
          <w:rFonts w:eastAsia="Calibri"/>
          <w:lang w:eastAsia="en-US"/>
        </w:rPr>
        <w:lastRenderedPageBreak/>
        <w:t>далее) (согласно приложениям № 1 и 2 к настоящим Указаниям).</w:t>
      </w:r>
      <w:bookmarkEnd w:id="4"/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8. В целях мониторинга применения продукции деревянного домостроения при</w:t>
      </w:r>
      <w:r>
        <w:rPr>
          <w:rFonts w:eastAsia="Calibri"/>
          <w:lang w:eastAsia="en-US"/>
        </w:rPr>
        <w:t xml:space="preserve"> строительстве социально значимых объектов из общего итога выделяются данные по вводу в действие отдельных мощностей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объектов с материалом стен из дерева и отражаются в отчетности: мощности в соответствующих единицах измерения (мест, тысяч мест, учениче</w:t>
      </w:r>
      <w:r>
        <w:rPr>
          <w:rFonts w:eastAsia="Calibri"/>
          <w:lang w:eastAsia="en-US"/>
        </w:rPr>
        <w:t xml:space="preserve">ских мест, коек и других) и площади объекта в квадратных метрах (приложение № 2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 настоящим Указаниям).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ГОСТ Р 56705-2015 «Конструкции деревянные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для строительства. Термины и определения», утвержденным приказом Росстандарта от 13 ноября </w:t>
      </w:r>
      <w:r>
        <w:rPr>
          <w:rFonts w:eastAsia="Calibri"/>
          <w:lang w:eastAsia="en-US"/>
        </w:rPr>
        <w:t>2015 г. № 1789-ст, объекты капитального строительства, построенные с применением продукции деревянного домостроения, характеризует использование следующих материалов стен: бревно, оцилиндрованное бревно, брус, древесная плита с ориентированной стружкой, др</w:t>
      </w:r>
      <w:r>
        <w:rPr>
          <w:rFonts w:eastAsia="Calibri"/>
          <w:lang w:eastAsia="en-US"/>
        </w:rPr>
        <w:t>евесно-стружечная плита, плита МДФ, цементно-стружечная плита, плита ДПК.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 продукции деревянного домостроения можно отнести объекты капитального строительства, в несущих конструкциях которых использованы деревянные строительные конструкции.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 xml:space="preserve">Основаниями для данных по вводу зданий и мощностей (разделы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1 и 2) является разрешение на ввод объекта в эксплуатацию, оформленное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установленном порядке в соответствии с действующим законодательством Российской Федерации о градостроительной деятельност</w:t>
      </w:r>
      <w:r>
        <w:rPr>
          <w:rFonts w:eastAsia="Calibri"/>
          <w:lang w:eastAsia="en-US"/>
        </w:rPr>
        <w:t xml:space="preserve">и, или уведомление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о соответствии построенного или реконструированного объекта индивидуального жилищного строительства требованиям законодательства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о градостроительной деятельности (при строительстве индивидуальных жилых домов с количеством надземных эта</w:t>
      </w:r>
      <w:r>
        <w:rPr>
          <w:rFonts w:eastAsia="Calibri"/>
          <w:lang w:eastAsia="en-US"/>
        </w:rPr>
        <w:t>жей не более чем три, высотой не более двадцати метров, не подлежащих разделу на самостоятельные объекты недвижимости).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Выдача разрешений на ввод объектов в эксплуатацию регламентируется статьей 55 Градостроительного кодекса Российской Федерации.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hyperlink r:id="rId7" w:tooltip="garantF1://70864644.2000" w:history="1">
        <w:r>
          <w:rPr>
            <w:rFonts w:eastAsia="Calibri"/>
            <w:lang w:eastAsia="en-US"/>
          </w:rPr>
          <w:t>Разрешение</w:t>
        </w:r>
      </w:hyperlink>
      <w:r>
        <w:rPr>
          <w:rFonts w:eastAsia="Calibri"/>
          <w:lang w:eastAsia="en-US"/>
        </w:rPr>
        <w:t xml:space="preserve"> на ввод объекта в эксплуатацию в соответствии со статьей 55 Градостроительного кодекса Российской Федерации представляет собой документ, который удостоверяет выполнение строительства,</w:t>
      </w:r>
      <w:r>
        <w:rPr>
          <w:rFonts w:eastAsia="Calibri"/>
          <w:lang w:eastAsia="en-US"/>
        </w:rPr>
        <w:t xml:space="preserve"> реконструкции объекта капитального строительства в полном объеме в соответствии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</w:t>
      </w:r>
      <w:r>
        <w:rPr>
          <w:rFonts w:eastAsia="Calibri"/>
          <w:lang w:eastAsia="en-US"/>
        </w:rPr>
        <w:t>оительства, реконструкции линейного объекта – проекту планировки территории и проекту межевания территории, а также проектной документации.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 разрешения на ввод объекта в эксплуатацию утверждена приказом Министерства строительства и жилищно-коммунально</w:t>
      </w:r>
      <w:r>
        <w:rPr>
          <w:rFonts w:eastAsia="Calibri"/>
          <w:lang w:eastAsia="en-US"/>
        </w:rPr>
        <w:t xml:space="preserve">го хозяйства Российской Федерации от 3 июня 2022 г. № 446/пр (зарегистрирован Минюстом России </w:t>
      </w:r>
      <w:r>
        <w:rPr>
          <w:rFonts w:eastAsia="Calibri"/>
          <w:lang w:eastAsia="en-US"/>
        </w:rPr>
        <w:br/>
        <w:t xml:space="preserve">30 июня 2022 г., регистрационный № 69078) с изменениями от 2 сентября </w:t>
      </w:r>
      <w:r>
        <w:rPr>
          <w:rFonts w:eastAsia="Calibri"/>
          <w:lang w:eastAsia="en-US"/>
        </w:rPr>
        <w:br/>
        <w:t>2022 г. № 711/пр (зарегистрирован Минюстом России 6 сентября 2022 г., регистрационный № 69</w:t>
      </w:r>
      <w:r>
        <w:rPr>
          <w:rFonts w:eastAsia="Calibri"/>
          <w:lang w:eastAsia="en-US"/>
        </w:rPr>
        <w:t>969).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Федеральным законом от 3 августа 2018 г. № 340-ФЗ «О внесении изменений в Градостроительный кодекс Российской Федерации и отдельные законодательные акты Российской Федерации» введен уведомительный порядок начала и окончания строительства или реконстр</w:t>
      </w:r>
      <w:r>
        <w:rPr>
          <w:rFonts w:eastAsia="Calibri"/>
          <w:lang w:eastAsia="en-US"/>
        </w:rPr>
        <w:t>укции объектов индивидуального жилищного строительства. Форма уведомления утверждена приказом Министерства строительства и жилищно-коммунального хозяйства Российской Федерации от 19 сентября 2018 г. № 591/пр (зарегистрирован Минюстом России 27 сентября 201</w:t>
      </w:r>
      <w:r>
        <w:rPr>
          <w:rFonts w:eastAsia="Calibri"/>
          <w:lang w:eastAsia="en-US"/>
        </w:rPr>
        <w:t>8 г., регистрационный № 52269).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Объекты, на строительство которых не требуется выдача разрешения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соответствии с пунктами 4.2, 4.4, 4.5, 5 части 17 статьи 51 Градостроительного кодекса Российской Федерации, постановлением Правительства Российской Федерац</w:t>
      </w:r>
      <w:r>
        <w:rPr>
          <w:rFonts w:eastAsia="Calibri"/>
          <w:lang w:eastAsia="en-US"/>
        </w:rPr>
        <w:t xml:space="preserve">ии от 12 ноября 2020 г. № 1816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 на которые распространяется уведомительный порядок, отражаются </w:t>
      </w:r>
      <w:r>
        <w:rPr>
          <w:rFonts w:eastAsia="Calibri"/>
          <w:lang w:eastAsia="en-US"/>
        </w:rPr>
        <w:br/>
        <w:t>на основании Акта приемки законченного строительством объекта, оформленного в установленном порядке.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Введенные в эксплуатацию объекты показываются в размерах,</w:t>
      </w:r>
      <w:r>
        <w:rPr>
          <w:rFonts w:eastAsia="Calibri"/>
          <w:lang w:eastAsia="en-US"/>
        </w:rPr>
        <w:t xml:space="preserve"> указанных </w:t>
      </w:r>
    </w:p>
    <w:p w:rsidR="00894D5B" w:rsidRDefault="00DC1760">
      <w:pPr>
        <w:shd w:val="clear" w:color="auto" w:fill="FFFFFF"/>
        <w:spacing w:line="355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разрешениях на ввод объектов в эксплуатацию, или в уведомлениях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о соответствии построенного (реконструированного) объекта индивидуального жилищного строительства, или актах приемки законченного строительством объекта. Также могут быть исполь</w:t>
      </w:r>
      <w:r>
        <w:rPr>
          <w:rFonts w:eastAsia="Calibri"/>
          <w:lang w:eastAsia="en-US"/>
        </w:rPr>
        <w:t>зованы сведения утвержденной проектно-сметной документации, технического плана.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Введенные в эксплуатацию объекты индивидуального жилищного строительства показываются на основании данных технического плана объекта ИЖС, который является обязательным приложен</w:t>
      </w:r>
      <w:r>
        <w:rPr>
          <w:rFonts w:eastAsia="Calibri"/>
          <w:lang w:eastAsia="en-US"/>
        </w:rPr>
        <w:t xml:space="preserve">ием к уведомлению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об окончании строительства (часть 16 статьи 55 Градостроительного кодекса Российской Федерации).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суда о признании права собственности и пригодности объектов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к эксплуатации, не является основанием для включения объектов в отчет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о вводе в эксплуатацию по форме. Факт производства продукции или оказания услуг, фактического проживания или прописки в жилом доме граждан также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не является основанием для включения в отчетность мощностей и объектов.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10. Не подлежат отражению в форме данн</w:t>
      </w:r>
      <w:r>
        <w:rPr>
          <w:rFonts w:eastAsia="Calibri"/>
          <w:lang w:eastAsia="en-US"/>
        </w:rPr>
        <w:t>ые по: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строительству или реконструкции объектов, не являющихся объектами капитального строительства. В соответствии с пунктом 10.2 статьи 1 Градостроительного кодекса Российской Федерации </w:t>
      </w:r>
      <w:r>
        <w:rPr>
          <w:shd w:val="clear" w:color="auto" w:fill="FFFFFF"/>
        </w:rPr>
        <w:t>некапитальные строения, сооружения – строения, сооружения, которые н</w:t>
      </w:r>
      <w:r>
        <w:rPr>
          <w:shd w:val="clear" w:color="auto" w:fill="FFFFFF"/>
        </w:rPr>
        <w:t xml:space="preserve">е имеют прочной связи с землей </w:t>
      </w:r>
      <w:r>
        <w:rPr>
          <w:shd w:val="clear" w:color="auto" w:fill="FFFFFF"/>
        </w:rPr>
        <w:br/>
        <w:t xml:space="preserve">и конструктивные характеристики которых позволяют осуществить </w:t>
      </w:r>
      <w:r>
        <w:rPr>
          <w:shd w:val="clear" w:color="auto" w:fill="FFFFFF"/>
        </w:rPr>
        <w:br/>
        <w:t>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</w:t>
      </w:r>
      <w:r>
        <w:rPr>
          <w:shd w:val="clear" w:color="auto" w:fill="FFFFFF"/>
        </w:rPr>
        <w:t>е киосков, навесов и других подобных строений, сооружений)</w:t>
      </w:r>
      <w:r>
        <w:rPr>
          <w:rFonts w:eastAsia="Calibri"/>
          <w:lang w:eastAsia="en-US"/>
        </w:rPr>
        <w:t>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строительству строений и сооружений вспомогательного использования, критерии отнесения к которым определены в постановлении Правительства Российской Федерации от 4 мая 2023 г.</w:t>
      </w:r>
      <w:r>
        <w:rPr>
          <w:rFonts w:eastAsia="Calibri"/>
          <w:lang w:eastAsia="en-US"/>
        </w:rPr>
        <w:t xml:space="preserve"> № 703 «Об утверждении критериев отнесения строений и сооружений к строениям и сооружениям вспомогательного использования»;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изменениям  объектов капитального строительства и (или) их частей, если </w:t>
      </w:r>
    </w:p>
    <w:p w:rsidR="00894D5B" w:rsidRDefault="00DC1760">
      <w:pPr>
        <w:shd w:val="clear" w:color="auto" w:fill="FFFFFF"/>
        <w:spacing w:line="355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такие изменения не затрагивают конструктивные и другие хара</w:t>
      </w:r>
      <w:r>
        <w:rPr>
          <w:rFonts w:eastAsia="Calibri"/>
          <w:lang w:eastAsia="en-US"/>
        </w:rPr>
        <w:t xml:space="preserve">ктеристики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капитальному ремонту объектов капитального строительства.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11. В графах 1 и 3 по строке 02 р</w:t>
      </w:r>
      <w:r>
        <w:rPr>
          <w:rFonts w:eastAsia="Calibri"/>
          <w:lang w:eastAsia="en-US"/>
        </w:rPr>
        <w:t xml:space="preserve">аздела 1 и строке 16 раздела 2 указываются соответственно тип жилого здания, наименование мощности (объекта) и код вида мощности в соответствии с приложениями № 1 и 2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 настоящим Указаниям.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12. В графе 4 разделов 1 и 2 показывается код характера строитель</w:t>
      </w:r>
      <w:r>
        <w:rPr>
          <w:rFonts w:eastAsia="Calibri"/>
          <w:lang w:eastAsia="en-US"/>
        </w:rPr>
        <w:t>ства: строительство – «0»; реконструкция – «3».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Характер строительства введенных объектов должен соответствовать записи соответственно: в разделе 3 разрешения на ввод объекта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в эксплуатацию, в уведомлении об окончании строительства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или реконструкции объе</w:t>
      </w:r>
      <w:r>
        <w:rPr>
          <w:rFonts w:eastAsia="Calibri"/>
          <w:lang w:eastAsia="en-US"/>
        </w:rPr>
        <w:t xml:space="preserve">кта индивидуального жилищного строительства,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пункте 1 Акта приемки законченного строительством объекта.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Код характера строительства проставляется по каждой мощности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 объекту, которые отражаются по строке 16 согласно приложению № 2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 настоящим Указани</w:t>
      </w:r>
      <w:r>
        <w:rPr>
          <w:rFonts w:eastAsia="Calibri"/>
          <w:lang w:eastAsia="en-US"/>
        </w:rPr>
        <w:t>ям, а также по строке 01 – жилые здания. По другим строкам характер строительства не указывается.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со статьей 1 Градостроительного кодекса Российской Федерации: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строительство – создание зданий, строений, сооружений (в том числе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месте снос</w:t>
      </w:r>
      <w:r>
        <w:rPr>
          <w:rFonts w:eastAsia="Calibri"/>
          <w:lang w:eastAsia="en-US"/>
        </w:rPr>
        <w:t>имых объектов капитального строительства);</w:t>
      </w:r>
      <w:bookmarkStart w:id="5" w:name="sub_1014"/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том числе</w:t>
      </w:r>
      <w:r>
        <w:rPr>
          <w:rFonts w:eastAsia="Calibri"/>
          <w:lang w:eastAsia="en-US"/>
        </w:rPr>
        <w:t xml:space="preserve">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</w:t>
      </w:r>
      <w:r>
        <w:rPr>
          <w:rFonts w:eastAsia="Calibri"/>
          <w:lang w:eastAsia="en-US"/>
        </w:rPr>
        <w:t xml:space="preserve">ли иные </w:t>
      </w:r>
      <w:r>
        <w:rPr>
          <w:rFonts w:eastAsia="Calibri"/>
          <w:lang w:eastAsia="en-US"/>
        </w:rPr>
        <w:lastRenderedPageBreak/>
        <w:t>улучшающие показатели таких конструкций элементы и (или) восстановления указанных элементов;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bookmarkStart w:id="6" w:name="sub_10141"/>
      <w:bookmarkEnd w:id="5"/>
      <w:r>
        <w:rPr>
          <w:rFonts w:eastAsia="Calibri"/>
          <w:lang w:eastAsia="en-US"/>
        </w:rPr>
        <w:t>реконструкция линейны</w:t>
      </w:r>
      <w:r>
        <w:rPr>
          <w:rFonts w:eastAsia="Calibri"/>
          <w:lang w:eastAsia="en-US"/>
        </w:rPr>
        <w:t xml:space="preserve">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r>
        <w:rPr>
          <w:rFonts w:eastAsia="Calibri"/>
          <w:lang w:eastAsia="en-US"/>
        </w:rPr>
        <w:t>котором требуется изменение границ полос отвода и (или) охранных зон таких объектов.</w:t>
      </w:r>
      <w:bookmarkEnd w:id="6"/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реконструированным объектам капитального строительства в графе 5 раздела 1 отражается прирост общей площади жилых помещений по сравнению с первоначальным значением, в г</w:t>
      </w:r>
      <w:r>
        <w:rPr>
          <w:rFonts w:eastAsia="Calibri"/>
          <w:lang w:eastAsia="en-US"/>
        </w:rPr>
        <w:t>рафе 6 раздела 2 – прирост мощности, производительности, вместимости, протяженности и тому подобного. Графы 6 и 7 раздела 1 в этом случае не заполняются.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проведении реконструкции жилых зданий, приведшей к изменению назначения помещений (например, вводе</w:t>
      </w:r>
      <w:r>
        <w:rPr>
          <w:rFonts w:eastAsia="Calibri"/>
          <w:lang w:eastAsia="en-US"/>
        </w:rPr>
        <w:t xml:space="preserve"> квартир в расположенном согласно проекту на первом этаже помещении столовой) общая площадь введенных после реконструкции квартир отражается по коду характера строительства «3» при соблюдении следующих условий: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проектом на указанное жилое здание было преду</w:t>
      </w:r>
      <w:r>
        <w:rPr>
          <w:rFonts w:eastAsia="Calibri"/>
          <w:lang w:eastAsia="en-US"/>
        </w:rPr>
        <w:t>смотрено встроенное помещение другого назначения;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вводе здания в эксплуатацию площадь встроенного нежилого помещения не включалась в общую площадь квартир и предприятие, расположенное в нем, было оформлено разрешением на ввод объекта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эксплуатацию (в</w:t>
      </w:r>
      <w:r>
        <w:rPr>
          <w:rFonts w:eastAsia="Calibri"/>
          <w:lang w:eastAsia="en-US"/>
        </w:rPr>
        <w:t xml:space="preserve"> данном примере – как предприятие общественного питания);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наличия разрешения на реконструкцию встроенного нежилого помещения, акта списания нежилого помещения (столовой), разрешения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на ввод объекта в эксплуатацию (квартиры) после реконструкции, оформленно</w:t>
      </w:r>
      <w:r>
        <w:rPr>
          <w:rFonts w:eastAsia="Calibri"/>
          <w:lang w:eastAsia="en-US"/>
        </w:rPr>
        <w:t xml:space="preserve">го в установленном порядке. 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bCs/>
        </w:rPr>
        <w:t xml:space="preserve">При реконструкции жилых и нежилых зданий, мощностей, в случае наличия акта списания на них, эти объекты, мощности отражаются </w:t>
      </w:r>
      <w:r>
        <w:rPr>
          <w:bCs/>
        </w:rPr>
        <w:br/>
        <w:t>как «строительство» с кодом «0».</w:t>
      </w:r>
    </w:p>
    <w:p w:rsidR="00894D5B" w:rsidRDefault="00DC1760">
      <w:pPr>
        <w:widowControl w:val="0"/>
        <w:ind w:firstLine="0"/>
        <w:jc w:val="center"/>
        <w:rPr>
          <w:b/>
        </w:rPr>
      </w:pPr>
      <w:r>
        <w:rPr>
          <w:b/>
        </w:rPr>
        <w:lastRenderedPageBreak/>
        <w:t xml:space="preserve">2.1. Заполнение </w:t>
      </w:r>
      <w:hyperlink w:anchor="P82" w:tooltip="#P82" w:history="1">
        <w:r>
          <w:rPr>
            <w:b/>
          </w:rPr>
          <w:t>раздела</w:t>
        </w:r>
      </w:hyperlink>
      <w:r>
        <w:rPr>
          <w:b/>
        </w:rPr>
        <w:t xml:space="preserve"> 1 «Ввод в э</w:t>
      </w:r>
      <w:r>
        <w:rPr>
          <w:b/>
        </w:rPr>
        <w:t>ксплуатацию зданий заказчиками»</w:t>
      </w:r>
    </w:p>
    <w:p w:rsidR="00894D5B" w:rsidRDefault="00894D5B">
      <w:pPr>
        <w:widowControl w:val="0"/>
        <w:ind w:firstLine="0"/>
        <w:jc w:val="center"/>
        <w:rPr>
          <w:b/>
        </w:rPr>
      </w:pPr>
    </w:p>
    <w:p w:rsidR="00894D5B" w:rsidRDefault="00DC1760">
      <w:pPr>
        <w:spacing w:line="360" w:lineRule="auto"/>
        <w:rPr>
          <w:bCs/>
        </w:rPr>
      </w:pPr>
      <w:r>
        <w:rPr>
          <w:bCs/>
        </w:rPr>
        <w:t>13. В графе 5 показывается ввод в действие общей площади жилых помещений в жилых и нежилых зданиях, секциях, блоках.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В графах 6 и 7 отражаются данные о количестве введенных зданий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их общей площади.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Здание – это строи</w:t>
      </w:r>
      <w:r>
        <w:rPr>
          <w:rFonts w:eastAsia="Calibri"/>
          <w:lang w:eastAsia="en-US"/>
        </w:rPr>
        <w:t xml:space="preserve">тельная система, состоящая из несущих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 ограждающих или совмещенных (несущих и ограждающих) конструкций, образующих надземный замкнутый объем, предназначенный для проживания или пребывания людей в зависимости от функционального назначения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для выполнени</w:t>
      </w:r>
      <w:r>
        <w:rPr>
          <w:rFonts w:eastAsia="Calibri"/>
          <w:lang w:eastAsia="en-US"/>
        </w:rPr>
        <w:t>я различного вида производственных процессов.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Ввод зданий, их общая площадь отражаются только после ввода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в эксплуатацию объекта в целом. Графы 6 и 7 заполняются одновременно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за период, в котором осуществлен ввод объекта.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графах 6 и 7 не учитываются количество и общая площадь зданий,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которых проводился ремонт, реконструкция, а также сооружения (силосные, сенажные башни, ангары, резервуары и другие сооружения). В случае секционного ввода в эксплуатацию объектов жилищно-</w:t>
      </w:r>
      <w:r>
        <w:rPr>
          <w:rFonts w:eastAsia="Calibri"/>
          <w:lang w:eastAsia="en-US"/>
        </w:rPr>
        <w:t xml:space="preserve">гражданского назначения количество введенных зданий, их общая площадь проставляются </w:t>
      </w:r>
      <w:r>
        <w:rPr>
          <w:rFonts w:eastAsia="Calibri"/>
          <w:lang w:eastAsia="en-US"/>
        </w:rPr>
        <w:br/>
        <w:t>по завершении и сдаче в эксплуатацию объекта в целом. Наружные пристройки к объектам учитываются как отдельные здания только в случае, если такие пристройки носят иной фун</w:t>
      </w:r>
      <w:r>
        <w:rPr>
          <w:rFonts w:eastAsia="Calibri"/>
          <w:lang w:eastAsia="en-US"/>
        </w:rPr>
        <w:t xml:space="preserve">кциональный характер, чем объект (здание) </w:t>
      </w:r>
      <w:r>
        <w:rPr>
          <w:rFonts w:eastAsia="Calibri"/>
          <w:lang w:eastAsia="en-US"/>
        </w:rPr>
        <w:br/>
        <w:t>в целом. Помещения, встроенные в здания и предназначенные для магазинов, столовых, парикмахерских, ателье и тому подобных, назначение которых иное, чем основное назначение здания, входят в состав основного здания.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bCs/>
        </w:rPr>
        <w:t xml:space="preserve">Для блокированной застройки </w:t>
      </w:r>
      <w:r>
        <w:rPr>
          <w:rFonts w:eastAsia="Calibri"/>
          <w:lang w:eastAsia="en-US"/>
        </w:rPr>
        <w:t xml:space="preserve">количество зданий определяется </w:t>
      </w:r>
      <w:r>
        <w:rPr>
          <w:rFonts w:eastAsia="Calibri"/>
          <w:lang w:eastAsia="en-US"/>
        </w:rPr>
        <w:br/>
        <w:t xml:space="preserve">по количеству </w:t>
      </w:r>
      <w:r>
        <w:rPr>
          <w:bCs/>
        </w:rPr>
        <w:t>блокированных жилых домов.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shd w:val="clear" w:color="auto" w:fill="FFFFFF"/>
        </w:rPr>
      </w:pPr>
      <w:r>
        <w:t>Д</w:t>
      </w:r>
      <w:r>
        <w:rPr>
          <w:shd w:val="clear" w:color="auto" w:fill="FFFFFF"/>
        </w:rPr>
        <w:t>ом блокированной застройки – жилой дом, блокированный с другим жилым домом (другими жилыми домами) в одном ряду общей боковой стеной (общими боковыми сте</w:t>
      </w:r>
      <w:r>
        <w:rPr>
          <w:shd w:val="clear" w:color="auto" w:fill="FFFFFF"/>
        </w:rPr>
        <w:t xml:space="preserve">нами) без проемов и имеющий отдельный выход </w:t>
      </w:r>
      <w:r>
        <w:rPr>
          <w:shd w:val="clear" w:color="auto" w:fill="FFFFFF"/>
        </w:rPr>
        <w:br/>
        <w:t>на земельный участок (пункт 40 статьи 1 Градостроительного кодекса Российской Федерации от 29 декабря 2004 г. № 190-ФЗ).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15. В графе 7 показывается общая площадь зданий, отраженных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графе 6.</w:t>
      </w:r>
    </w:p>
    <w:p w:rsidR="00894D5B" w:rsidRDefault="00DC1760">
      <w:pPr>
        <w:widowControl w:val="0"/>
        <w:shd w:val="clear" w:color="auto" w:fill="FFFFFF"/>
        <w:spacing w:line="355" w:lineRule="auto"/>
      </w:pPr>
      <w:r>
        <w:rPr>
          <w:rFonts w:eastAsia="Calibri"/>
          <w:lang w:eastAsia="en-US"/>
        </w:rPr>
        <w:t>Общая площадь обще</w:t>
      </w:r>
      <w:r>
        <w:rPr>
          <w:rFonts w:eastAsia="Calibri"/>
          <w:lang w:eastAsia="en-US"/>
        </w:rPr>
        <w:t xml:space="preserve">ственных зданий и сооружений определяется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в соответствии со </w:t>
      </w:r>
      <w:r>
        <w:t xml:space="preserve">СП 118.13330.2022 «СНиП 31-06-2009 Общественные здания </w:t>
      </w:r>
      <w:r>
        <w:rPr>
          <w:rFonts w:eastAsia="Calibri"/>
          <w:lang w:eastAsia="en-US"/>
        </w:rPr>
        <w:br w:type="textWrapping" w:clear="all"/>
      </w:r>
      <w:r>
        <w:t xml:space="preserve">и сооружения», утвержденного приказом Минстроя России от 19 мая 2022 г. </w:t>
      </w:r>
      <w:r>
        <w:br/>
        <w:t>№ 389/пр.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Общая площадь общественного здания, сооружения определяе</w:t>
      </w:r>
      <w:r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как сумма площадей всех этажей (включая технический, мансардный, цокольный, подвальный и иные), а также эксплуатируемой кровли.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общую площадь здания, сооружения включают площади: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любых помещений (в том числе технических) независимо от высоты поверхн</w:t>
      </w:r>
      <w:r>
        <w:rPr>
          <w:rFonts w:eastAsia="Calibri"/>
          <w:lang w:eastAsia="en-US"/>
        </w:rPr>
        <w:t>ости над ними;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антресолей, галерей и балконов зрительных и других залов, галерей, переходов в другие здания, тоннелей, всех ярусов внутренних этажерок, рамп;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открытых неотапливаемых планировочных элементов общественного здания, сооружения (включая площадь </w:t>
      </w:r>
      <w:r>
        <w:rPr>
          <w:rFonts w:eastAsia="Calibri"/>
          <w:lang w:eastAsia="en-US"/>
        </w:rPr>
        <w:t>эксплуатируемой кровли, наружных галерей, наружных тамбуров и других подобных элементов).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Общая площадь жилых зданий определяется в соответствии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со СП 54.13330.2022 «СНиП 31-01-2003 Здания жилые многоквартирные», утвержденного приказом Минстроя России от </w:t>
      </w:r>
      <w:r>
        <w:rPr>
          <w:rFonts w:eastAsia="Calibri"/>
          <w:lang w:eastAsia="en-US"/>
        </w:rPr>
        <w:t>13 мая 2022 г. № 361/пр.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Площадь здания (площадь многоквартирного жилого здания) определяется как сумма площадей этажей.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Площади подполья, проветриваемого подполья, технического подполья, чердака, технического чердака, внеквартирных</w:t>
      </w:r>
      <w:r>
        <w:rPr>
          <w:rFonts w:eastAsia="Calibri"/>
          <w:lang w:eastAsia="en-US"/>
        </w:rPr>
        <w:t xml:space="preserve"> инженерных коммуникаций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с вертикальной разводкой (в каналах, шахтах), технических пространств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площадь здания не включаются.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площадь здания включаются площади эксплуатируемой кровли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переходов между зданиями.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16. По строке 01 отражаются данные о вв</w:t>
      </w:r>
      <w:r>
        <w:rPr>
          <w:rFonts w:eastAsia="Calibri"/>
          <w:lang w:eastAsia="en-US"/>
        </w:rPr>
        <w:t>оде в эксплуатацию жилых зданий (домов).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со статьей 16 Жилищного кодекса Российской Федерации </w:t>
      </w:r>
      <w:r>
        <w:rPr>
          <w:rFonts w:eastAsia="Calibri"/>
          <w:lang w:eastAsia="en-US"/>
        </w:rPr>
        <w:lastRenderedPageBreak/>
        <w:t>жилым домом признается индивидуально-определенное здание, которое состоит из комнат, а также помещений вспомогательного использования, предназначен</w:t>
      </w:r>
      <w:r>
        <w:rPr>
          <w:rFonts w:eastAsia="Calibri"/>
          <w:lang w:eastAsia="en-US"/>
        </w:rPr>
        <w:t xml:space="preserve">ных для удовлетворения гражданами бытовых и иных нужд, связанных с их проживанием в таком здании. 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строке 01 «Жилые здания» отражаются жилые дома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многоквартирные дома постоянного типа, общежития, приюты, дома маневренного фонда, дома-интернаты для пр</w:t>
      </w:r>
      <w:r>
        <w:rPr>
          <w:rFonts w:eastAsia="Calibri"/>
          <w:lang w:eastAsia="en-US"/>
        </w:rPr>
        <w:t xml:space="preserve">естарелых и инвалидов, ветеранов, специальные дома для одиноких престарелых, детские дома, интернаты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при школах и школы-интернаты, другие дома (системы социального обслуживания населения, фонда для временного поселения вынужденных переселенцев и лиц, приз</w:t>
      </w:r>
      <w:r>
        <w:rPr>
          <w:rFonts w:eastAsia="Calibri"/>
          <w:lang w:eastAsia="en-US"/>
        </w:rPr>
        <w:t>нанных беженцами, для социальной защиты граждан).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числе введенных жилых зданий (домов) не учитываются: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здания, пригодные только для сезонного или временного проживания, независимо от длительности проживания в них граждан – садовые дома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охотничьи домик</w:t>
      </w:r>
      <w:r>
        <w:rPr>
          <w:rFonts w:eastAsia="Calibri"/>
          <w:lang w:eastAsia="en-US"/>
        </w:rPr>
        <w:t>и;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юрты, передвижные домики и вагончики, сборно-разборные щитовые домики и другие, приспособленные для временного проживания строения;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жилые здания для специальных целей (казармы для военнослужащих, общежития для спецконтингентов, кельи);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спортивные и тури</w:t>
      </w:r>
      <w:r>
        <w:rPr>
          <w:rFonts w:eastAsia="Calibri"/>
          <w:lang w:eastAsia="en-US"/>
        </w:rPr>
        <w:t>стские базы, мотели, кемпинги, санатории, дома отдыха, пансионаты, дома для приезжих, гостиницы;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жилые здания, переоборудованные из нежилых.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17. По строке 01 в графе 5 показывается общая площадь жилых помещений во введенных в эксплуатацию жилых зданиях (до</w:t>
      </w:r>
      <w:r>
        <w:rPr>
          <w:rFonts w:eastAsia="Calibri"/>
          <w:lang w:eastAsia="en-US"/>
        </w:rPr>
        <w:t xml:space="preserve">мах), которая определяется как сумма площадей всех частей жилых помещений, включая площадь помещений вспомогательного использования, предназначенных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для удовлетворения гражданами бытовых и иных нужд, связанных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с их проживанием в жилом помещении, а также </w:t>
      </w:r>
      <w:r>
        <w:rPr>
          <w:rFonts w:eastAsia="Calibri"/>
          <w:lang w:eastAsia="en-US"/>
        </w:rPr>
        <w:t>площадей лоджий, балконов, веранд, террас, подсчитываемых с соответствующими понижающими коэффициентами. Указанная площадь должна соответствовать фактическому</w:t>
      </w:r>
      <w:r>
        <w:t xml:space="preserve"> </w:t>
      </w:r>
      <w:r>
        <w:rPr>
          <w:rFonts w:eastAsia="Calibri"/>
          <w:lang w:eastAsia="en-US"/>
        </w:rPr>
        <w:t xml:space="preserve">значению показателя «Общая площадь жилых помещений (с учетом балконов, </w:t>
      </w:r>
      <w:r>
        <w:rPr>
          <w:rFonts w:eastAsia="Calibri"/>
          <w:lang w:eastAsia="en-US"/>
        </w:rPr>
        <w:lastRenderedPageBreak/>
        <w:t>лоджий, веранд и террас)», отраженному в пункте 6.Х.7 раздела 6 Разрешения на ввод объекта в эксплуатацию.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помещениям вспомогательного использования относятся помещения для обеспечения коммуникационных, санитарных, технических хозяйственно-бытовых нужд (</w:t>
      </w:r>
      <w:r>
        <w:rPr>
          <w:rFonts w:eastAsia="Calibri"/>
          <w:lang w:eastAsia="en-US"/>
        </w:rPr>
        <w:t xml:space="preserve">кухни, передние, холлы, внутриквартирные коридоры, ванные или душевые, туалеты, кладовые или хозяйственные встроенные шкафы).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В домах-интернатах для престарелых и инвалидов, ветеранов, специальных домах для одиноких престарелых, детских домах к подсобным </w:t>
      </w:r>
      <w:r>
        <w:rPr>
          <w:rFonts w:eastAsia="Calibri"/>
          <w:lang w:eastAsia="en-US"/>
        </w:rPr>
        <w:t>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общую площадь жилых помещений не входит: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площадь лестничных клеток, лифтовых холлов, тамбуров, общих коридоров, ве</w:t>
      </w:r>
      <w:r>
        <w:rPr>
          <w:rFonts w:eastAsia="Calibri"/>
          <w:lang w:eastAsia="en-US"/>
        </w:rPr>
        <w:t xml:space="preserve">стибюлей, галерей, неотапливаемых мансард и мезонинов, подполья для проветривания здания, проектируемого для строительства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на вечномерзлых грунтах, чердака, технического подполья (технического чердака), внеквартирных коммуникаций, лифтовых и других шахт, </w:t>
      </w:r>
      <w:r>
        <w:rPr>
          <w:rFonts w:eastAsia="Calibri"/>
          <w:lang w:eastAsia="en-US"/>
        </w:rPr>
        <w:t>портиков, крылец, наружных открытых лестниц;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площадь, предназначенная для жилищно-эксплуатационных организаций, магазинов, отделений связи, детских учреждений, предприятий службы быта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так далее;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площадь помещений комендантов, служебных комнат обслуживаю</w:t>
      </w:r>
      <w:r>
        <w:rPr>
          <w:rFonts w:eastAsia="Calibri"/>
          <w:lang w:eastAsia="en-US"/>
        </w:rPr>
        <w:t>щего персонала, торговых ларьков в общежитиях, специальных домах для одиноких престарелых, ветеранов, инвалидов, детских домах, домах-интернатах;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площадь помещений столовых, буфетов, клубов, читален, библиотек, учебных классов, спортивных залов, приемных п</w:t>
      </w:r>
      <w:r>
        <w:rPr>
          <w:rFonts w:eastAsia="Calibri"/>
          <w:lang w:eastAsia="en-US"/>
        </w:rPr>
        <w:t>унктов бытового обслуживания в общежитиях;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площадь жилых помещений, переоборудованных из нежилых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результате работ, не относящихся к реконструкции;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площадь жилых</w:t>
      </w:r>
      <w:r>
        <w:t xml:space="preserve"> </w:t>
      </w:r>
      <w:r>
        <w:rPr>
          <w:rFonts w:eastAsia="Calibri"/>
          <w:lang w:eastAsia="en-US"/>
        </w:rPr>
        <w:t>помещений в нежилых зданиях (эти данные отражаются по строке 15).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производстве работ, не</w:t>
      </w:r>
      <w:r>
        <w:rPr>
          <w:rFonts w:eastAsia="Calibri"/>
          <w:lang w:eastAsia="en-US"/>
        </w:rPr>
        <w:t xml:space="preserve"> приводящих к изменению назначения </w:t>
      </w:r>
      <w:r>
        <w:rPr>
          <w:rFonts w:eastAsia="Calibri"/>
          <w:lang w:eastAsia="en-US"/>
        </w:rPr>
        <w:lastRenderedPageBreak/>
        <w:t xml:space="preserve">помещения в здании (например, при размещении квартир в общежитиях),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а также при расширении площади существующих квартир за счет площадей общего коридора, колясочной, вестибюля, пристроек веранд и тому подобного данные по</w:t>
      </w:r>
      <w:r>
        <w:rPr>
          <w:rFonts w:eastAsia="Calibri"/>
          <w:lang w:eastAsia="en-US"/>
        </w:rPr>
        <w:t xml:space="preserve"> вводу общей площади жилых домов не отражаются.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18. По строке 15 в графе 5 отражается ввод в действие общей площади жилых помещений во вновь построенных нежилых зданиях. Например: жилые квартиры в общеобразовательных организациях, больницах, при офисах; сп</w:t>
      </w:r>
      <w:r>
        <w:rPr>
          <w:rFonts w:eastAsia="Calibri"/>
          <w:lang w:eastAsia="en-US"/>
        </w:rPr>
        <w:t xml:space="preserve">альные помещения и комнаты дневного пребывания в школах-интернатах (если эти помещения расположены в учебном здании), которые выделяются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из проектно-сметной документации (поэтажного плана).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19. По свободной строке 02 из данных строки 01 показываются данны</w:t>
      </w:r>
      <w:r>
        <w:rPr>
          <w:rFonts w:eastAsia="Calibri"/>
          <w:lang w:eastAsia="en-US"/>
        </w:rPr>
        <w:t xml:space="preserve">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по отдельным типам жилых зданий согласно приложению № 1 к настоящим Указаниям.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20. По коду 507 выделяются данные по общежитиям, а также специальным домам для одиноких престарелых, инвалидов, ветеранов, детским домам, интернатам при школах и школам-интер</w:t>
      </w:r>
      <w:r>
        <w:rPr>
          <w:rFonts w:eastAsia="Calibri"/>
          <w:lang w:eastAsia="en-US"/>
        </w:rPr>
        <w:t>натам, приютам.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По коду 515 выделяются данные по жилым зданиям, построенным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по ипотечному кредитованию. По указанному коду отражаются данные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об общей площади квартир, построенных застройщиками – юридическими лицами в рамках региональных программ ипот</w:t>
      </w:r>
      <w:r>
        <w:rPr>
          <w:rFonts w:eastAsia="Calibri"/>
          <w:lang w:eastAsia="en-US"/>
        </w:rPr>
        <w:t>ечного кредитования жилищного строительства.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типам жилых зданий, построенным за счет средств федерального бюджета (код 512), бюджетов субъектов Российской Федерации и местных бюджетов (код 513), а также построенным по ипотечному кредитованию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(код 515) графы 6 и 7 не заполняются.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22. По коду 518 выделяются данные по многоквартирным жилым зданиям.</w:t>
      </w:r>
    </w:p>
    <w:p w:rsidR="00894D5B" w:rsidRDefault="00DC1760">
      <w:pPr>
        <w:shd w:val="clear" w:color="auto" w:fill="FFFFFF"/>
        <w:spacing w:line="355" w:lineRule="auto"/>
        <w:rPr>
          <w:shd w:val="clear" w:color="auto" w:fill="FFFFFF"/>
        </w:rPr>
      </w:pPr>
      <w:r>
        <w:t xml:space="preserve">В соответствии с </w:t>
      </w:r>
      <w:hyperlink r:id="rId8" w:tooltip="consultantplus://offline/ref=65DBB22D9F88F94C9DBD9233DA9562E59D13AD6B76D6450C28D41B1D1E432230BD77129BD15941F11C14236D37B7C1F7E3D528DC517DZ7jFI" w:history="1">
        <w:r>
          <w:t>частью 6 статьи 15</w:t>
        </w:r>
      </w:hyperlink>
      <w:r>
        <w:t xml:space="preserve"> Жилищного кодекса Российской Федерации м</w:t>
      </w:r>
      <w:r>
        <w:rPr>
          <w:shd w:val="clear" w:color="auto" w:fill="FFFFFF"/>
        </w:rPr>
        <w:t>ногоквартирным домом пр</w:t>
      </w:r>
      <w:r>
        <w:rPr>
          <w:shd w:val="clear" w:color="auto" w:fill="FFFFFF"/>
        </w:rPr>
        <w:t xml:space="preserve">изнается здание, состоящее из двух </w:t>
      </w:r>
      <w:r>
        <w:rPr>
          <w:shd w:val="clear" w:color="auto" w:fill="FFFFFF"/>
        </w:rPr>
        <w:br/>
        <w:t xml:space="preserve">и более квартир, включающее в себя следующее имущество: </w:t>
      </w:r>
    </w:p>
    <w:p w:rsidR="00894D5B" w:rsidRDefault="00DC1760">
      <w:pPr>
        <w:shd w:val="clear" w:color="auto" w:fill="FFFFFF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 xml:space="preserve">помещения    в    данном    доме,    не    являющиеся     частями      квартир </w:t>
      </w:r>
    </w:p>
    <w:p w:rsidR="00894D5B" w:rsidRDefault="00DC1760">
      <w:pPr>
        <w:shd w:val="clear" w:color="auto" w:fill="FFFFFF"/>
        <w:spacing w:line="355" w:lineRule="auto"/>
        <w:ind w:firstLine="0"/>
        <w:rPr>
          <w:shd w:val="clear" w:color="auto" w:fill="FFFFFF"/>
        </w:rPr>
      </w:pPr>
      <w:bookmarkStart w:id="7" w:name="P729"/>
      <w:bookmarkEnd w:id="7"/>
      <w:r>
        <w:rPr>
          <w:shd w:val="clear" w:color="auto" w:fill="FFFFFF"/>
        </w:rPr>
        <w:lastRenderedPageBreak/>
        <w:t>и предназначенные для обслуживания более одного помещения в данном доме, в том числ</w:t>
      </w:r>
      <w:r>
        <w:rPr>
          <w:shd w:val="clear" w:color="auto" w:fill="FFFFFF"/>
        </w:rPr>
        <w:t xml:space="preserve">е межквартирные лестничные площадки, лестницы, лифты, лифтовые и иные шахты, коридоры, технические этажи, чердаки, </w:t>
      </w:r>
      <w:hyperlink r:id="rId9" w:tooltip="https://login.consultant.ru/link/?req=doc&amp;base=LAW&amp;n=449687&amp;dst=100009" w:history="1">
        <w:r>
          <w:rPr>
            <w:shd w:val="clear" w:color="auto" w:fill="FFFFFF"/>
          </w:rPr>
          <w:t>подвалы</w:t>
        </w:r>
      </w:hyperlink>
      <w:r>
        <w:rPr>
          <w:shd w:val="clear" w:color="auto" w:fill="FFFFFF"/>
        </w:rPr>
        <w:t xml:space="preserve">, </w:t>
      </w:r>
      <w:r>
        <w:rPr>
          <w:shd w:val="clear" w:color="auto" w:fill="FFFFFF"/>
        </w:rPr>
        <w:br/>
        <w:t>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894D5B" w:rsidRDefault="00DC1760">
      <w:pPr>
        <w:shd w:val="clear" w:color="auto" w:fill="FFFFFF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 xml:space="preserve">иные помещения в данном доме, не принадлежащие отдельным собственникам и предназначенные </w:t>
      </w:r>
      <w:r>
        <w:rPr>
          <w:shd w:val="clear" w:color="auto" w:fill="FFFFFF"/>
        </w:rPr>
        <w:t>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</w:t>
      </w:r>
      <w:r>
        <w:rPr>
          <w:shd w:val="clear" w:color="auto" w:fill="FFFFFF"/>
        </w:rPr>
        <w:t xml:space="preserve"> а также не принадлежащие отдельным собственникам машино-места;</w:t>
      </w:r>
    </w:p>
    <w:p w:rsidR="00894D5B" w:rsidRDefault="00DC1760">
      <w:pPr>
        <w:shd w:val="clear" w:color="auto" w:fill="FFFFFF"/>
        <w:spacing w:line="355" w:lineRule="auto"/>
        <w:rPr>
          <w:shd w:val="clear" w:color="auto" w:fill="FFFFFF"/>
        </w:rPr>
      </w:pPr>
      <w:bookmarkStart w:id="8" w:name="P732"/>
      <w:bookmarkEnd w:id="8"/>
      <w:r>
        <w:rPr>
          <w:shd w:val="clear" w:color="auto" w:fill="FFFFFF"/>
        </w:rPr>
        <w:t xml:space="preserve">крыши, ограждающие несущие и ненесущие конструкции данного дома, механическое, электрическое, санитарно-техническое и </w:t>
      </w:r>
      <w:hyperlink r:id="rId10" w:tooltip="https://login.consultant.ru/link/?req=doc&amp;base=LAW&amp;n=463125&amp;dst=100075" w:history="1">
        <w:r>
          <w:rPr>
            <w:shd w:val="clear" w:color="auto" w:fill="FFFFFF"/>
          </w:rPr>
          <w:t>другое</w:t>
        </w:r>
      </w:hyperlink>
      <w:r>
        <w:rPr>
          <w:shd w:val="clear" w:color="auto" w:fill="FFFFFF"/>
        </w:rPr>
        <w:t xml:space="preserve"> оборудование </w:t>
      </w:r>
      <w:r>
        <w:rPr>
          <w:shd w:val="clear" w:color="auto" w:fill="FFFFFF"/>
        </w:rPr>
        <w:br/>
        <w:t xml:space="preserve">(в том числе конструкции и (или) иное оборудование, предназначенные </w:t>
      </w:r>
      <w:r>
        <w:rPr>
          <w:shd w:val="clear" w:color="auto" w:fill="FFFFFF"/>
        </w:rPr>
        <w:br/>
        <w:t xml:space="preserve">для обеспечения беспрепятственного доступа инвалидов к помещениям </w:t>
      </w:r>
      <w:r>
        <w:rPr>
          <w:shd w:val="clear" w:color="auto" w:fill="FFFFFF"/>
        </w:rPr>
        <w:br/>
        <w:t>в многоква</w:t>
      </w:r>
      <w:r>
        <w:rPr>
          <w:shd w:val="clear" w:color="auto" w:fill="FFFFFF"/>
        </w:rPr>
        <w:t>ртирном доме), находящееся в данном доме за пределами или внутри помещений и обслуживающее более одного помещения.</w:t>
      </w:r>
    </w:p>
    <w:p w:rsidR="00894D5B" w:rsidRDefault="00DC1760">
      <w:pPr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shd w:val="clear" w:color="auto" w:fill="FFFFFF"/>
        </w:rPr>
        <w:t>Многоквартирный дом может также включать в себя принадлежащие отдельным собственникам нежилые помещения и (или) машино-места, являющиеся неот</w:t>
      </w:r>
      <w:r>
        <w:rPr>
          <w:shd w:val="clear" w:color="auto" w:fill="FFFFFF"/>
        </w:rPr>
        <w:t xml:space="preserve">ъемлемой конструктивной частью такого многоквартирного дома. 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коду 518 не включаются данные, отраженные по коду 507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(по общежитиям, домам-интернатам, детским домам и другим).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23. Данные по индивидуальным жилым домам отражаются по коду 529, при этом не учитываются данные по вводу в действие индивидуальных жилых домов, построенных населением (заказчиками – физическими лицами) за счет собственных и привлеченных средств.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>Объект инд</w:t>
      </w:r>
      <w:r>
        <w:rPr>
          <w:shd w:val="clear" w:color="auto" w:fill="FFFFFF"/>
        </w:rPr>
        <w:t xml:space="preserve">ивидуального жилищного строительства 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</w:t>
      </w:r>
      <w:r>
        <w:rPr>
          <w:shd w:val="clear" w:color="auto" w:fill="FFFFFF"/>
        </w:rPr>
        <w:lastRenderedPageBreak/>
        <w:t>использования, предназначенных для удовлетворения гражд</w:t>
      </w:r>
      <w:r>
        <w:rPr>
          <w:shd w:val="clear" w:color="auto" w:fill="FFFFFF"/>
        </w:rPr>
        <w:t xml:space="preserve">анами бытовых </w:t>
      </w:r>
      <w:r>
        <w:rPr>
          <w:shd w:val="clear" w:color="auto" w:fill="FFFFFF"/>
        </w:rPr>
        <w:br/>
        <w:t xml:space="preserve">и иных нужд, связанных с их проживанием в таком здании, и не предназначено для раздела на самостоятельные объекты недвижимости. </w:t>
      </w:r>
    </w:p>
    <w:p w:rsidR="00894D5B" w:rsidRDefault="00DC1760">
      <w:pPr>
        <w:widowControl w:val="0"/>
        <w:shd w:val="clear" w:color="auto" w:fill="FFFFFF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>Понятия «объект индивидуального жилищного строительства», «жилой дом» и «индивидуальный жилой дом» применяются в</w:t>
      </w:r>
      <w:r>
        <w:rPr>
          <w:shd w:val="clear" w:color="auto" w:fill="FFFFFF"/>
        </w:rPr>
        <w:t xml:space="preserve"> Градостроительном кодексе Российской Федерации,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</w:t>
      </w:r>
      <w:r>
        <w:rPr>
          <w:shd w:val="clear" w:color="auto" w:fill="FFFFFF"/>
        </w:rPr>
        <w:t xml:space="preserve">и. При этом параметры, устанавливаемые к объектам индивидуального жилищного строительства Градостроительным кодексом Российской Федерации, в равной степени применяются к жилым домам, индивидуальным жилым домам, если иное </w:t>
      </w:r>
      <w:r>
        <w:rPr>
          <w:shd w:val="clear" w:color="auto" w:fill="FFFFFF"/>
        </w:rPr>
        <w:br/>
        <w:t>не предусмотрено такими федеральны</w:t>
      </w:r>
      <w:r>
        <w:rPr>
          <w:shd w:val="clear" w:color="auto" w:fill="FFFFFF"/>
        </w:rPr>
        <w:t>ми законами и нормативными правовыми актами Российской Федерации (пункт 39 статьи 1 Градостроительного кодекса Российской Федерации от 29 декабря 2004 г. № 190-ФЗ).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>Индивидуальный жилой дом предназначен для индивидуального проживания или проживания одной с</w:t>
      </w:r>
      <w:r>
        <w:rPr>
          <w:shd w:val="clear" w:color="auto" w:fill="FFFFFF"/>
        </w:rPr>
        <w:t xml:space="preserve">емьи при постоянном, длительном </w:t>
      </w:r>
      <w:r>
        <w:rPr>
          <w:shd w:val="clear" w:color="auto" w:fill="FFFFFF"/>
        </w:rPr>
        <w:br/>
        <w:t>или кратковременном проживании (в том числе сезонном, отпускном).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число индивидуальных жилых домов включаются дома коттеджного типа (код 511), блокированные жилые дома (код 528) и другие дома, проектируемые по СП 55.13330</w:t>
      </w:r>
      <w:r>
        <w:rPr>
          <w:rFonts w:eastAsia="Calibri"/>
          <w:lang w:eastAsia="en-US"/>
        </w:rPr>
        <w:t>.2016 «СНиП 31-02-2001 Дома жилые одноквартирные», утвержденного приказом Минстроя России от 20 октября 2016 г. № 725/пр.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Отдельно стоящие здания жилого назначения коттеджного типа, построенные организациями застройщиками – юридическими лицами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 их обособ</w:t>
      </w:r>
      <w:r>
        <w:rPr>
          <w:rFonts w:eastAsia="Calibri"/>
          <w:lang w:eastAsia="en-US"/>
        </w:rPr>
        <w:t>ленными подразделениями, отражаются по коду 511.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 жилым домам коттеджного типа относятся одноквартирные индивидуальные жилые дома, при которых имеется небольшой участок земли.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 xml:space="preserve">Коттеджи бывают преимущественно двухэтажными с внутренней лестницей, на первом </w:t>
      </w:r>
      <w:r>
        <w:rPr>
          <w:rFonts w:eastAsia="Calibri"/>
          <w:lang w:eastAsia="en-US"/>
        </w:rPr>
        <w:t>этаже которых обычно расположена общая комната, кухня, хозяйственные помещения; на втором этаже – спальни.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rFonts w:eastAsia="Calibri"/>
          <w:lang w:eastAsia="en-US"/>
        </w:rPr>
      </w:pPr>
      <w:r>
        <w:lastRenderedPageBreak/>
        <w:t xml:space="preserve">По коду 528 отражаются данные по вводу блокированных жилых домов. </w:t>
      </w:r>
    </w:p>
    <w:p w:rsidR="00894D5B" w:rsidRDefault="00DC1760">
      <w:pPr>
        <w:spacing w:line="355" w:lineRule="auto"/>
      </w:pPr>
      <w:r>
        <w:t>В соответствии со СП 55.13330.2016 «СНиП 31-02-2001 Дома жилые одноквартирные», ут</w:t>
      </w:r>
      <w:r>
        <w:t xml:space="preserve">вержденного приказом Минстроя России от 20 октября 2016 г. № 725/пр, дом блокированной застройки жилой индивидуальный (блокированный жилой дом) – индивидуальный жилой дом, блокированный </w:t>
      </w:r>
      <w:r>
        <w:br/>
        <w:t>с другим индивидуальным жилым домом (другими индивидуальными жилыми д</w:t>
      </w:r>
      <w:r>
        <w:t xml:space="preserve">омами) в одном ряду общей боковой стеной (общими боковыми стенами) </w:t>
      </w:r>
      <w:r>
        <w:br/>
        <w:t xml:space="preserve">без проемов и имеющий отдельный выход на земельный участок. </w:t>
      </w:r>
    </w:p>
    <w:p w:rsidR="00894D5B" w:rsidRDefault="00DC1760">
      <w:pPr>
        <w:spacing w:line="355" w:lineRule="auto"/>
      </w:pPr>
      <w:r>
        <w:t>Общая стена (общие стены) блокированных жилых домов не придают блокированной застройке классификационных признаков многоквартир</w:t>
      </w:r>
      <w:r>
        <w:t xml:space="preserve">ного жилого дома. </w:t>
      </w:r>
    </w:p>
    <w:p w:rsidR="00894D5B" w:rsidRDefault="00DC1760">
      <w:pPr>
        <w:spacing w:line="348" w:lineRule="auto"/>
      </w:pPr>
      <w:r>
        <w:t xml:space="preserve">24. По строке 07 отражаются данные о вводе в эксплуатацию нежилых зданий, то есть зданий, назначением которых является создание условий </w:t>
      </w:r>
      <w:r>
        <w:rPr>
          <w:rFonts w:eastAsia="Calibri"/>
          <w:lang w:eastAsia="en-US"/>
        </w:rPr>
        <w:br w:type="textWrapping" w:clear="all"/>
      </w:r>
      <w:r>
        <w:t>для труда, социально-культурного обслуживания населения и хранения материальных ценностей.</w:t>
      </w:r>
    </w:p>
    <w:p w:rsidR="00894D5B" w:rsidRDefault="00DC1760">
      <w:pPr>
        <w:widowControl w:val="0"/>
        <w:spacing w:line="348" w:lineRule="auto"/>
      </w:pPr>
      <w:r>
        <w:t>Данные ст</w:t>
      </w:r>
      <w:r>
        <w:t xml:space="preserve">роки 07 распределяются по строкам 08–14 в зависимости </w:t>
      </w:r>
      <w:r>
        <w:rPr>
          <w:rFonts w:eastAsia="Calibri"/>
          <w:lang w:eastAsia="en-US"/>
        </w:rPr>
        <w:br w:type="textWrapping" w:clear="all"/>
      </w:r>
      <w:r>
        <w:t>от типа построенного здания и отражаются следующим образом:</w:t>
      </w:r>
    </w:p>
    <w:p w:rsidR="00894D5B" w:rsidRDefault="00DC1760">
      <w:pPr>
        <w:widowControl w:val="0"/>
        <w:spacing w:line="348" w:lineRule="auto"/>
      </w:pPr>
      <w:r>
        <w:t>по строке 08 –</w:t>
      </w:r>
      <w:r>
        <w:rPr>
          <w:i/>
        </w:rPr>
        <w:t xml:space="preserve"> </w:t>
      </w:r>
      <w:r>
        <w:rPr>
          <w:iCs/>
        </w:rPr>
        <w:t>«</w:t>
      </w:r>
      <w:r>
        <w:t xml:space="preserve">промышленные», то есть здания, используемые </w:t>
      </w:r>
      <w:r>
        <w:rPr>
          <w:rFonts w:eastAsia="Calibri"/>
          <w:lang w:eastAsia="en-US"/>
        </w:rPr>
        <w:br w:type="textWrapping" w:clear="all"/>
      </w:r>
      <w:r>
        <w:t>для промышленного производства, складирования на промышленных предприятиях;</w:t>
      </w:r>
    </w:p>
    <w:p w:rsidR="00894D5B" w:rsidRDefault="00DC1760">
      <w:pPr>
        <w:widowControl w:val="0"/>
        <w:spacing w:line="348" w:lineRule="auto"/>
      </w:pPr>
      <w:r>
        <w:t>по строке 09</w:t>
      </w:r>
      <w:r>
        <w:rPr>
          <w:i/>
        </w:rPr>
        <w:t xml:space="preserve"> </w:t>
      </w:r>
      <w:r>
        <w:t>– «сельскохозяйственные» здания;</w:t>
      </w:r>
    </w:p>
    <w:p w:rsidR="00894D5B" w:rsidRDefault="00DC1760">
      <w:pPr>
        <w:widowControl w:val="0"/>
        <w:spacing w:line="348" w:lineRule="auto"/>
      </w:pPr>
      <w:r>
        <w:t>по строке 10</w:t>
      </w:r>
      <w:r>
        <w:rPr>
          <w:i/>
        </w:rPr>
        <w:t xml:space="preserve"> –</w:t>
      </w:r>
      <w:r>
        <w:t xml:space="preserve"> «коммерческие», то есть здания, предназначенные </w:t>
      </w:r>
      <w:r>
        <w:rPr>
          <w:rFonts w:eastAsia="Calibri"/>
          <w:lang w:eastAsia="en-US"/>
        </w:rPr>
        <w:br w:type="textWrapping" w:clear="all"/>
      </w:r>
      <w:r>
        <w:t>для оптовой и розничной торговли, сервиса (гостиниц, бытового обслуживания населения) и так далее;</w:t>
      </w:r>
    </w:p>
    <w:p w:rsidR="00894D5B" w:rsidRDefault="00DC1760">
      <w:pPr>
        <w:widowControl w:val="0"/>
        <w:spacing w:line="348" w:lineRule="auto"/>
      </w:pPr>
      <w:r>
        <w:t xml:space="preserve">по строке 11 </w:t>
      </w:r>
      <w:r>
        <w:rPr>
          <w:i/>
        </w:rPr>
        <w:t>–</w:t>
      </w:r>
      <w:r>
        <w:t xml:space="preserve"> «административные», то есть здан</w:t>
      </w:r>
      <w:r>
        <w:t xml:space="preserve">ия административных учреждений, контор и офисов фирм, организаций, предприятий, агентств, кредитно-финансовых и страховых организаций, банков, редакций </w:t>
      </w:r>
      <w:r>
        <w:rPr>
          <w:rFonts w:eastAsia="Calibri"/>
          <w:lang w:eastAsia="en-US"/>
        </w:rPr>
        <w:br w:type="textWrapping" w:clear="all"/>
      </w:r>
      <w:r>
        <w:t>и тому подобных;</w:t>
      </w:r>
    </w:p>
    <w:p w:rsidR="00894D5B" w:rsidRDefault="00DC1760">
      <w:pPr>
        <w:widowControl w:val="0"/>
        <w:spacing w:line="348" w:lineRule="auto"/>
      </w:pPr>
      <w:r>
        <w:t>по строке 12 – «учебные», то есть здания, предназначенные для обучения (организаций об</w:t>
      </w:r>
      <w:r>
        <w:t>разования, внешкольных, культурных и просветительских, научных и проектно-изыскательских организаций);</w:t>
      </w:r>
    </w:p>
    <w:p w:rsidR="00894D5B" w:rsidRDefault="00DC1760">
      <w:pPr>
        <w:widowControl w:val="0"/>
        <w:spacing w:line="348" w:lineRule="auto"/>
      </w:pPr>
      <w:r>
        <w:lastRenderedPageBreak/>
        <w:t xml:space="preserve">по строке 13 – «здравоохранения», то есть здания, предназначенные </w:t>
      </w:r>
      <w:r>
        <w:rPr>
          <w:rFonts w:eastAsia="Calibri"/>
          <w:lang w:eastAsia="en-US"/>
        </w:rPr>
        <w:br w:type="textWrapping" w:clear="all"/>
      </w:r>
      <w:r>
        <w:t>для лечебных целей (лечебно-профилактических, санаторно-курортных, оздоровительных орг</w:t>
      </w:r>
      <w:r>
        <w:t>анизаций);</w:t>
      </w:r>
    </w:p>
    <w:p w:rsidR="00894D5B" w:rsidRDefault="00DC1760">
      <w:pPr>
        <w:widowControl w:val="0"/>
        <w:spacing w:line="348" w:lineRule="auto"/>
      </w:pPr>
      <w:r>
        <w:t xml:space="preserve">по строке 14 – «другие» здания, не отнесенные ни к одной </w:t>
      </w:r>
      <w:r>
        <w:rPr>
          <w:rFonts w:eastAsia="Calibri"/>
          <w:lang w:eastAsia="en-US"/>
        </w:rPr>
        <w:br w:type="textWrapping" w:clear="all"/>
      </w:r>
      <w:r>
        <w:t xml:space="preserve">из вышеперечисленных группировок (религиозные, транспорта, связи </w:t>
      </w:r>
      <w:r>
        <w:rPr>
          <w:rFonts w:eastAsia="Calibri"/>
          <w:lang w:eastAsia="en-US"/>
        </w:rPr>
        <w:br w:type="textWrapping" w:clear="all"/>
      </w:r>
      <w:r>
        <w:t>и так далее).</w:t>
      </w:r>
    </w:p>
    <w:p w:rsidR="00894D5B" w:rsidRDefault="00DC1760">
      <w:pPr>
        <w:spacing w:line="355" w:lineRule="auto"/>
      </w:pPr>
      <w:r>
        <w:t>Отнесение построенных нежилых зданий к тому или иному типу осуществляется исходя из целей их использования.</w:t>
      </w:r>
    </w:p>
    <w:p w:rsidR="00894D5B" w:rsidRDefault="00DC1760">
      <w:pPr>
        <w:spacing w:line="355" w:lineRule="auto"/>
      </w:pPr>
      <w:r>
        <w:t xml:space="preserve">Сумма данных строк 08–14 по графам 6 и </w:t>
      </w:r>
      <w:r>
        <w:rPr>
          <w:rFonts w:eastAsia="Calibri"/>
          <w:lang w:eastAsia="en-US"/>
        </w:rPr>
        <w:t xml:space="preserve">7 </w:t>
      </w:r>
      <w:r>
        <w:t xml:space="preserve">должна быть равна данным </w:t>
      </w:r>
      <w:r>
        <w:br/>
        <w:t>по строке 07.</w:t>
      </w:r>
    </w:p>
    <w:p w:rsidR="00894D5B" w:rsidRDefault="00DC1760">
      <w:pPr>
        <w:widowControl w:val="0"/>
        <w:ind w:firstLine="0"/>
        <w:jc w:val="center"/>
        <w:rPr>
          <w:b/>
        </w:rPr>
      </w:pPr>
      <w:r>
        <w:rPr>
          <w:b/>
        </w:rPr>
        <w:t xml:space="preserve">2.2. Заполнение </w:t>
      </w:r>
      <w:hyperlink w:anchor="P82" w:tooltip="#P82" w:history="1">
        <w:r>
          <w:rPr>
            <w:b/>
          </w:rPr>
          <w:t>раздела</w:t>
        </w:r>
      </w:hyperlink>
      <w:r>
        <w:rPr>
          <w:b/>
        </w:rPr>
        <w:t xml:space="preserve"> 2 «Мощность введенных объектов в нежилых зданиях и сооружений»</w:t>
      </w:r>
    </w:p>
    <w:p w:rsidR="00894D5B" w:rsidRDefault="00894D5B">
      <w:pPr>
        <w:widowControl w:val="0"/>
        <w:ind w:firstLine="0"/>
        <w:jc w:val="center"/>
        <w:rPr>
          <w:b/>
        </w:rPr>
      </w:pPr>
    </w:p>
    <w:p w:rsidR="00894D5B" w:rsidRDefault="00DC1760">
      <w:pPr>
        <w:spacing w:line="355" w:lineRule="auto"/>
      </w:pPr>
      <w:r>
        <w:t xml:space="preserve">25. </w:t>
      </w:r>
      <w:r>
        <w:t xml:space="preserve">В графе 6 показывается ввод в действие мощностей и объектов </w:t>
      </w:r>
      <w:r>
        <w:br w:type="textWrapping" w:clear="all"/>
      </w:r>
      <w:r>
        <w:t>в нежилых зданиях, включая расположенные в пристройках, надстройках, встроенных помещениях в зданиях другого назначения, сооружений.</w:t>
      </w:r>
    </w:p>
    <w:p w:rsidR="00894D5B" w:rsidRDefault="00DC1760">
      <w:pPr>
        <w:spacing w:line="355" w:lineRule="auto"/>
      </w:pPr>
      <w:r>
        <w:t>Если на объекте до отчетного периода осуществлялся частичный в</w:t>
      </w:r>
      <w:r>
        <w:t xml:space="preserve">вод </w:t>
      </w:r>
      <w:r>
        <w:rPr>
          <w:rFonts w:eastAsia="Calibri"/>
          <w:lang w:eastAsia="en-US"/>
        </w:rPr>
        <w:br w:type="textWrapping" w:clear="all"/>
      </w:r>
      <w:r>
        <w:t xml:space="preserve">в эксплуатацию мощностей, а в отчетном месяце его строительство завершено полностью, то в отчете показывается только та мощность, которая введена </w:t>
      </w:r>
      <w:r>
        <w:br w:type="textWrapping" w:clear="all"/>
      </w:r>
      <w:r>
        <w:t>в эксплуатацию в отчетном периоде.</w:t>
      </w:r>
    </w:p>
    <w:p w:rsidR="00894D5B" w:rsidRDefault="00DC1760">
      <w:pPr>
        <w:widowControl w:val="0"/>
        <w:spacing w:line="355" w:lineRule="auto"/>
      </w:pPr>
      <w:r>
        <w:t>26. По свободной строке 16</w:t>
      </w:r>
      <w:r>
        <w:rPr>
          <w:i/>
        </w:rPr>
        <w:t xml:space="preserve"> </w:t>
      </w:r>
      <w:r>
        <w:t>показываются данные о мощности введенных в</w:t>
      </w:r>
      <w:r>
        <w:t xml:space="preserve"> эксплуатацию объектов в нежилых зданиях и мощности введенных сооружений в соответствии с перечнем, приведенным в приложении № 2 </w:t>
      </w:r>
      <w:r>
        <w:br w:type="textWrapping" w:clear="all"/>
      </w:r>
      <w:r>
        <w:t>к настоящим Указаниям. Номенклатура мощностей с соответствующими кодами, утвержденная Росстатом, сгруппирована по видам эконом</w:t>
      </w:r>
      <w:r>
        <w:t>ической деятельности по назначению объекта, сооружения, мощности.</w:t>
      </w:r>
    </w:p>
    <w:p w:rsidR="00894D5B" w:rsidRDefault="00DC1760">
      <w:pPr>
        <w:widowControl w:val="0"/>
        <w:spacing w:line="355" w:lineRule="auto"/>
      </w:pPr>
      <w:r>
        <w:t>В графе 1 указывается наименование мощности, в графе 3 – код вида мощности, в графе 4 – код характера строительства, в графе 6 – размер введенной мощности.</w:t>
      </w:r>
    </w:p>
    <w:p w:rsidR="00894D5B" w:rsidRDefault="00DC1760">
      <w:pPr>
        <w:widowControl w:val="0"/>
        <w:spacing w:line="355" w:lineRule="auto"/>
      </w:pPr>
      <w:r>
        <w:t xml:space="preserve">27. Отражение данных по отдельным </w:t>
      </w:r>
      <w:r>
        <w:t xml:space="preserve">кодам мощностей </w:t>
      </w:r>
      <w:r>
        <w:br w:type="textWrapping" w:clear="all"/>
      </w:r>
      <w:r>
        <w:t>по соответствующим видам экономической деятельности:</w:t>
      </w:r>
    </w:p>
    <w:p w:rsidR="00894D5B" w:rsidRDefault="00DC1760">
      <w:pPr>
        <w:widowControl w:val="0"/>
        <w:spacing w:line="355" w:lineRule="auto"/>
      </w:pPr>
      <w:r>
        <w:rPr>
          <w:bCs/>
        </w:rPr>
        <w:t xml:space="preserve">Растениеводство      и     животноводство,       охота     и      предоставление </w:t>
      </w:r>
    </w:p>
    <w:p w:rsidR="00894D5B" w:rsidRDefault="00DC1760">
      <w:pPr>
        <w:spacing w:line="355" w:lineRule="auto"/>
        <w:ind w:firstLine="0"/>
        <w:rPr>
          <w:bCs/>
        </w:rPr>
      </w:pPr>
      <w:r>
        <w:rPr>
          <w:bCs/>
        </w:rPr>
        <w:lastRenderedPageBreak/>
        <w:t>соответствующих услуг в этих областях (код ОКВЭД 2 – «01»)</w:t>
      </w:r>
    </w:p>
    <w:p w:rsidR="00894D5B" w:rsidRDefault="00DC1760">
      <w:pPr>
        <w:spacing w:line="355" w:lineRule="auto"/>
      </w:pPr>
      <w:r>
        <w:rPr>
          <w:bCs/>
        </w:rPr>
        <w:t xml:space="preserve">28. </w:t>
      </w:r>
      <w:r>
        <w:t>По вводу в действие помещений для содержа</w:t>
      </w:r>
      <w:r>
        <w:t xml:space="preserve">ния скота, птицы </w:t>
      </w:r>
      <w:r>
        <w:br w:type="textWrapping" w:clear="all"/>
      </w:r>
      <w:r>
        <w:t>и кроликов по кодам 7110–7140 и 133 показываются данные по помещениям, как входящим в состав животноводческих, птицеводческих комплексов и ферм, так и строящимся отдельно.</w:t>
      </w:r>
    </w:p>
    <w:p w:rsidR="00894D5B" w:rsidRDefault="00DC1760">
      <w:pPr>
        <w:widowControl w:val="0"/>
        <w:spacing w:line="355" w:lineRule="auto"/>
      </w:pPr>
      <w:r>
        <w:t>Количество мест во введенных помещениях, а также введенная мощност</w:t>
      </w:r>
      <w:r>
        <w:t xml:space="preserve">ь животноводческих комплексов показывается исходя из проекта, </w:t>
      </w:r>
      <w:r>
        <w:rPr>
          <w:rFonts w:eastAsia="Calibri"/>
          <w:lang w:eastAsia="en-US"/>
        </w:rPr>
        <w:br w:type="textWrapping" w:clear="all"/>
      </w:r>
      <w:r>
        <w:t xml:space="preserve">а не фактического наличия скота, птицы, кроликов, размещенных </w:t>
      </w:r>
      <w:r>
        <w:rPr>
          <w:rFonts w:eastAsia="Calibri"/>
          <w:lang w:eastAsia="en-US"/>
        </w:rPr>
        <w:br w:type="textWrapping" w:clear="all"/>
      </w:r>
      <w:r>
        <w:t>в помещениях.</w:t>
      </w:r>
    </w:p>
    <w:p w:rsidR="00894D5B" w:rsidRDefault="00DC1760">
      <w:pPr>
        <w:widowControl w:val="0"/>
        <w:spacing w:line="355" w:lineRule="auto"/>
      </w:pPr>
      <w:r>
        <w:t xml:space="preserve">Ввод в действие помещений для содержания скота (птицы, кроликов) </w:t>
      </w:r>
      <w:r>
        <w:br w:type="textWrapping" w:clear="all"/>
      </w:r>
      <w:r>
        <w:t>в животноводческих (птицеводческих, кролиководческ</w:t>
      </w:r>
      <w:r>
        <w:t xml:space="preserve">их) комплексах учитывается только после ввода в эксплуатацию всего комплекса </w:t>
      </w:r>
      <w:r>
        <w:rPr>
          <w:rFonts w:eastAsia="Calibri"/>
          <w:lang w:eastAsia="en-US"/>
        </w:rPr>
        <w:br w:type="textWrapping" w:clear="all"/>
      </w:r>
      <w:r>
        <w:t xml:space="preserve"> (или его очереди в соответствии с проектом). Этот порядок должен соблюдаться и в том случае, если в построенных помещениях уже размещен скот (птица).</w:t>
      </w:r>
    </w:p>
    <w:p w:rsidR="00894D5B" w:rsidRDefault="00DC1760">
      <w:pPr>
        <w:widowControl w:val="0"/>
        <w:spacing w:line="355" w:lineRule="auto"/>
      </w:pPr>
      <w:r>
        <w:t>К помещениям для содержания</w:t>
      </w:r>
      <w:r>
        <w:t xml:space="preserve"> крупного рогатого скота (код 7110) относятся: животноводческие фермы, скотные дворы, коровники, воловни, телятники, летние лагеря закрытого типа, площадки по откорму крупного рогатого скота и другие помещения.</w:t>
      </w:r>
    </w:p>
    <w:p w:rsidR="00894D5B" w:rsidRDefault="00DC1760">
      <w:pPr>
        <w:widowControl w:val="0"/>
        <w:spacing w:line="355" w:lineRule="auto"/>
      </w:pPr>
      <w:r>
        <w:t>Из</w:t>
      </w:r>
      <w:r>
        <w:rPr>
          <w:b/>
        </w:rPr>
        <w:t xml:space="preserve"> </w:t>
      </w:r>
      <w:r>
        <w:t>кода 7110 выделяются данные по вводу в дей</w:t>
      </w:r>
      <w:r>
        <w:t xml:space="preserve">ствие помещений </w:t>
      </w:r>
      <w:r>
        <w:rPr>
          <w:rFonts w:eastAsia="Calibri"/>
          <w:lang w:eastAsia="en-US"/>
        </w:rPr>
        <w:br w:type="textWrapping" w:clear="all"/>
      </w:r>
      <w:r>
        <w:t xml:space="preserve">для содержания крупного рогатого скота с материалом стен из дерева </w:t>
      </w:r>
      <w:r>
        <w:rPr>
          <w:rFonts w:eastAsia="Calibri"/>
          <w:lang w:eastAsia="en-US"/>
        </w:rPr>
        <w:br w:type="textWrapping" w:clear="all"/>
      </w:r>
      <w:r>
        <w:t>и отражаются по коду 7111 – в тыс. мест и по коду 7112 – в кв. м.</w:t>
      </w:r>
    </w:p>
    <w:p w:rsidR="00894D5B" w:rsidRDefault="00DC1760">
      <w:pPr>
        <w:widowControl w:val="0"/>
        <w:spacing w:line="355" w:lineRule="auto"/>
      </w:pPr>
      <w:r>
        <w:t>К помещениям для содержания свиней относятся: свинарники универсальные, маточники, откормочники, хрячники</w:t>
      </w:r>
      <w:r>
        <w:t>, для поросят-отъемышей, свинарники-логовища, летние лагеря закрытого типа и другие.</w:t>
      </w:r>
    </w:p>
    <w:p w:rsidR="00894D5B" w:rsidRDefault="00DC1760">
      <w:pPr>
        <w:widowControl w:val="0"/>
        <w:spacing w:line="355" w:lineRule="auto"/>
        <w:ind w:firstLine="567"/>
      </w:pPr>
      <w:r>
        <w:t>Следует иметь в виду, что в свинарниках-маточниках каждое место (станок) для свиноматки засчитывается за одно место.</w:t>
      </w:r>
    </w:p>
    <w:p w:rsidR="00894D5B" w:rsidRDefault="00DC1760">
      <w:pPr>
        <w:widowControl w:val="0"/>
        <w:spacing w:line="355" w:lineRule="auto"/>
      </w:pPr>
      <w:r>
        <w:t xml:space="preserve">В помещения для содержания овец включаются закрытые овчарни </w:t>
      </w:r>
      <w:r>
        <w:rPr>
          <w:rFonts w:eastAsia="Calibri"/>
          <w:lang w:eastAsia="en-US"/>
        </w:rPr>
        <w:br w:type="textWrapping" w:clear="all"/>
      </w:r>
      <w:r>
        <w:t>для овцематок, для зимнего ягнения и другие помещения. Базы-навесы (включая оборудованные тепляками), овчарни-крыши и другие сооружения некапитального типа к этим помещениям не относятся.</w:t>
      </w:r>
    </w:p>
    <w:p w:rsidR="00894D5B" w:rsidRDefault="00DC1760">
      <w:pPr>
        <w:widowControl w:val="0"/>
        <w:spacing w:line="355" w:lineRule="auto"/>
      </w:pPr>
      <w:r>
        <w:lastRenderedPageBreak/>
        <w:t>К помещ</w:t>
      </w:r>
      <w:r>
        <w:t xml:space="preserve">ениям для содержания коз относятся: специализированные фермы и фермы с законченным оборотом стада пухового, шерстного, мясного </w:t>
      </w:r>
      <w:r>
        <w:rPr>
          <w:rFonts w:eastAsia="Calibri"/>
          <w:lang w:eastAsia="en-US"/>
        </w:rPr>
        <w:br w:type="textWrapping" w:clear="all"/>
      </w:r>
      <w:r>
        <w:t xml:space="preserve">и молочного направления. Сооружения легкого типа для укрытия коз в летний период, трехстенный навес для содержания коз и другие </w:t>
      </w:r>
      <w:r>
        <w:t>сооружения некапитального типа к этим помещениям не относятся.</w:t>
      </w:r>
    </w:p>
    <w:p w:rsidR="00894D5B" w:rsidRDefault="00DC1760">
      <w:pPr>
        <w:widowControl w:val="0"/>
        <w:spacing w:line="355" w:lineRule="auto"/>
      </w:pPr>
      <w:r>
        <w:t>Ввод в действие помещений для содержания лошадей (конюшен) отражается по коду 7132. Конюшни – это специальные постройки, разделенные на индивидуальные для каждой лошади секции, которые называют</w:t>
      </w:r>
      <w:r>
        <w:t xml:space="preserve">ся денниками и стойлами. Загоны для нахождения лошадей на свежем воздухе, открытые дорожки для тренинга, пригоны, паддоки, левады для прогулок </w:t>
      </w:r>
      <w:r>
        <w:rPr>
          <w:rFonts w:eastAsia="Calibri"/>
          <w:lang w:eastAsia="en-US"/>
        </w:rPr>
        <w:br w:type="textWrapping" w:clear="all"/>
      </w:r>
      <w:r>
        <w:t>и другие сооружения некапитального типа к этим помещениям не относятся.</w:t>
      </w:r>
    </w:p>
    <w:p w:rsidR="00894D5B" w:rsidRDefault="00DC1760">
      <w:pPr>
        <w:spacing w:line="355" w:lineRule="auto"/>
      </w:pPr>
      <w:r>
        <w:t>К помещениям для содержания кроликов отн</w:t>
      </w:r>
      <w:r>
        <w:t>осятся основные сооружения капитального строительства: отдельно стоящие загоны, шеды, клетки, отапливаемые и утепленные помещения для содержания кроликов.</w:t>
      </w:r>
    </w:p>
    <w:p w:rsidR="00894D5B" w:rsidRDefault="00DC1760">
      <w:pPr>
        <w:widowControl w:val="0"/>
        <w:spacing w:line="355" w:lineRule="auto"/>
      </w:pPr>
      <w:r>
        <w:t xml:space="preserve">К помещениям для содержания птицы относятся: помещения </w:t>
      </w:r>
      <w:r>
        <w:rPr>
          <w:rFonts w:eastAsia="Calibri"/>
          <w:lang w:eastAsia="en-US"/>
        </w:rPr>
        <w:br w:type="textWrapping" w:clear="all"/>
      </w:r>
      <w:r>
        <w:t>для содержания домашней птицы – птицефермы, п</w:t>
      </w:r>
      <w:r>
        <w:t>тичники всех назначений (для кур-несушек, селекционные, для выращивания молодняка, в том числе батарейные цеха, акклиматизаторы и другие). Птицефабрики, передвижные помещения для временного содержания взрослой птицы и молодняка, а также инкубаторы в этот п</w:t>
      </w:r>
      <w:r>
        <w:t>оказатель не включаются.</w:t>
      </w:r>
    </w:p>
    <w:p w:rsidR="00894D5B" w:rsidRDefault="00DC1760">
      <w:pPr>
        <w:widowControl w:val="0"/>
        <w:spacing w:line="355" w:lineRule="auto"/>
      </w:pPr>
      <w:r>
        <w:t xml:space="preserve">29. По кодам 7161 и 7162 показывается ввод в действие мощностей </w:t>
      </w:r>
      <w:r>
        <w:rPr>
          <w:rFonts w:eastAsia="Calibri"/>
          <w:lang w:eastAsia="en-US"/>
        </w:rPr>
        <w:br w:type="textWrapping" w:clear="all"/>
      </w:r>
      <w:r>
        <w:t>на птицефабриках яичного и мясного направления. Ввод в действие других помещений для содержания птицы учитывается по коду 7140.</w:t>
      </w:r>
    </w:p>
    <w:p w:rsidR="00894D5B" w:rsidRDefault="00DC1760">
      <w:pPr>
        <w:widowControl w:val="0"/>
        <w:spacing w:line="355" w:lineRule="auto"/>
      </w:pPr>
      <w:r>
        <w:t>По кодам 7161 и 7162 отражается ввод м</w:t>
      </w:r>
      <w:r>
        <w:t xml:space="preserve">ощностей только основных производственных цехов птицефабрик. Мощности введенных вспомогательных цехов на птицефабриках (цыплятники, цеха для выращивания молодняка </w:t>
      </w:r>
      <w:r>
        <w:br w:type="textWrapping" w:clear="all"/>
      </w:r>
      <w:r>
        <w:t>и другие) по этим кодам не учитываются. При реконструкции действующих птицефабрик яичного на</w:t>
      </w:r>
      <w:r>
        <w:t xml:space="preserve">правления учитываются только данные по птичникам промышленного стада кур, которые дают товарное яйцо и увеличивают мощности действующей птицефабрики. Данные по другим сооружаемым объектам (птичники репродукторы для маточного поголовья, акклиматизаторы </w:t>
      </w:r>
      <w:r>
        <w:lastRenderedPageBreak/>
        <w:t xml:space="preserve">для </w:t>
      </w:r>
      <w:r>
        <w:t>выращивания молодняка и другие) по птицефабрикам яичного направления не отражаются. Инкубаторы по выведению цыплят отражаются по коду 132.</w:t>
      </w:r>
    </w:p>
    <w:p w:rsidR="00894D5B" w:rsidRDefault="00DC1760">
      <w:pPr>
        <w:widowControl w:val="0"/>
        <w:spacing w:line="355" w:lineRule="auto"/>
      </w:pPr>
      <w:r>
        <w:t xml:space="preserve">30. По кодам 7163 и 7164 отражается ввод в действие цехов </w:t>
      </w:r>
      <w:r>
        <w:rPr>
          <w:rFonts w:eastAsia="Calibri"/>
          <w:lang w:eastAsia="en-US"/>
        </w:rPr>
        <w:br w:type="textWrapping" w:clear="all"/>
      </w:r>
      <w:r>
        <w:t>по переработке мяса на птицефабриках яичного и мясного направления соответственно.</w:t>
      </w:r>
    </w:p>
    <w:p w:rsidR="00894D5B" w:rsidRDefault="00DC1760">
      <w:pPr>
        <w:widowControl w:val="0"/>
        <w:spacing w:line="348" w:lineRule="auto"/>
      </w:pPr>
      <w:r>
        <w:t>31. По зерносеменохранилищам по коду 7211 учитываются зерносклады, включая склады для хранения продовольственного и фуражного зерна, семенохранилища, постройки напольного, з</w:t>
      </w:r>
      <w:r>
        <w:t xml:space="preserve">акромного и других типов, стационарные кукурузохранилища и другие помещения капитального типа </w:t>
      </w:r>
      <w:r>
        <w:rPr>
          <w:rFonts w:eastAsia="Calibri"/>
          <w:lang w:eastAsia="en-US"/>
        </w:rPr>
        <w:br w:type="textWrapping" w:clear="all"/>
      </w:r>
      <w:r>
        <w:t>для хранения зерна. Ввод в эксплуатацию навесов и помещений, приспособленных для временного хранения зерна, не учитывается.</w:t>
      </w:r>
    </w:p>
    <w:p w:rsidR="00894D5B" w:rsidRDefault="00DC1760">
      <w:pPr>
        <w:widowControl w:val="0"/>
        <w:spacing w:line="348" w:lineRule="auto"/>
      </w:pPr>
      <w:r>
        <w:t xml:space="preserve">32. По коду 7220 отражаются данные о </w:t>
      </w:r>
      <w:r>
        <w:t>хранилищах капитального типа для картофеля, овощей и фруктов для организаций сельского хозяйства, используемые для продовольственных и семенных целей. Ввод в действие овощекартофелехранилищ, строящихся в составе животноводческих комплексов, предназначенных</w:t>
      </w:r>
      <w:r>
        <w:t xml:space="preserve"> для хранения овощей и картофеля на корм скоту, а также холодильники для длительного хранения овощей и плодов по коду 7220 не отражаются.</w:t>
      </w:r>
    </w:p>
    <w:p w:rsidR="00894D5B" w:rsidRDefault="00DC1760">
      <w:pPr>
        <w:widowControl w:val="0"/>
        <w:spacing w:line="348" w:lineRule="auto"/>
      </w:pPr>
      <w:r>
        <w:t>Из кода 7220 «Хранилища для организаций сельского хозяйства» выделяются в том числе: хранилища для картофеля – код 722</w:t>
      </w:r>
      <w:r>
        <w:t xml:space="preserve">6, хранилища </w:t>
      </w:r>
      <w:r>
        <w:rPr>
          <w:rFonts w:eastAsia="Calibri"/>
          <w:lang w:eastAsia="en-US"/>
        </w:rPr>
        <w:br w:type="textWrapping" w:clear="all"/>
      </w:r>
      <w:r>
        <w:t xml:space="preserve">для овощей, кроме картофеля – код 7227, смешанные хранилища для овощей </w:t>
      </w:r>
      <w:r>
        <w:rPr>
          <w:rFonts w:eastAsia="Calibri"/>
          <w:lang w:eastAsia="en-US"/>
        </w:rPr>
        <w:br w:type="textWrapping" w:clear="all"/>
      </w:r>
      <w:r>
        <w:t>и картофеля – код 7228, хранилища для фруктов и ягод – код 7229.</w:t>
      </w:r>
    </w:p>
    <w:p w:rsidR="00894D5B" w:rsidRDefault="00DC1760">
      <w:pPr>
        <w:spacing w:line="348" w:lineRule="auto"/>
      </w:pPr>
      <w:r>
        <w:t xml:space="preserve">По коду 7220 не отражаются данные по вводу корнеплодохранилищ </w:t>
      </w:r>
      <w:r>
        <w:rPr>
          <w:rFonts w:eastAsia="Calibri"/>
          <w:lang w:eastAsia="en-US"/>
        </w:rPr>
        <w:br w:type="textWrapping" w:clear="all"/>
      </w:r>
      <w:r>
        <w:t xml:space="preserve"> (для кормов). Корнеплодохранилища, введен</w:t>
      </w:r>
      <w:r>
        <w:t>ные в эксплуатацию за счет строительства/реконструкции, отражаются по коду 7222.</w:t>
      </w:r>
    </w:p>
    <w:p w:rsidR="00894D5B" w:rsidRDefault="00DC1760">
      <w:pPr>
        <w:spacing w:line="348" w:lineRule="auto"/>
        <w:ind w:right="-1"/>
      </w:pPr>
      <w:r>
        <w:t>33. По силосным и сенажным сооружениям по коду 7250 отражаются башни, полубашни, облицованные ямы, траншеи и другие силосные сооружения (включая силосные и сенажные сооружения</w:t>
      </w:r>
      <w:r>
        <w:t xml:space="preserve">, строящиеся в составе животноводческих комплексов), сенажные сооружения башенного </w:t>
      </w:r>
      <w:r>
        <w:br/>
        <w:t>и траншейного типов. Причем отражаются только сооружения, которые позволяют обеспечить длительное герметическое хранение заложенного сенажа. Необлицованные ямы и траншеи дл</w:t>
      </w:r>
      <w:r>
        <w:t>я хранения силоса не учитываются.</w:t>
      </w:r>
    </w:p>
    <w:p w:rsidR="00894D5B" w:rsidRDefault="00DC1760">
      <w:pPr>
        <w:widowControl w:val="0"/>
        <w:spacing w:line="348" w:lineRule="auto"/>
      </w:pPr>
      <w:r>
        <w:lastRenderedPageBreak/>
        <w:t xml:space="preserve">34. По коду 7265 показывают ввод в действие тепличных комбинатов </w:t>
      </w:r>
      <w:r>
        <w:br w:type="textWrapping" w:clear="all"/>
      </w:r>
      <w:r>
        <w:t>с остекленными теплицами. Если на тепличном комбинате вводятся в действие пленочные теплицы, то их ввод отражается по коду 7267, если вводятся теплицы с пок</w:t>
      </w:r>
      <w:r>
        <w:t>рытием из полимерных материалов (поликарбонат), то их ввод отражается по коду 134.</w:t>
      </w:r>
    </w:p>
    <w:p w:rsidR="00894D5B" w:rsidRDefault="00DC1760">
      <w:pPr>
        <w:widowControl w:val="0"/>
        <w:spacing w:line="355" w:lineRule="auto"/>
      </w:pPr>
      <w:r>
        <w:t xml:space="preserve">35. По коду 7266 отражается ввод в действие теплиц под стеклом, </w:t>
      </w:r>
      <w:r>
        <w:br w:type="textWrapping" w:clear="all"/>
      </w:r>
      <w:r>
        <w:t>не входящих в тепличные комбинаты.</w:t>
      </w:r>
    </w:p>
    <w:p w:rsidR="00894D5B" w:rsidRDefault="00DC1760">
      <w:pPr>
        <w:widowControl w:val="0"/>
        <w:spacing w:line="355" w:lineRule="auto"/>
      </w:pPr>
      <w:r>
        <w:t xml:space="preserve">36. По ремонтным мастерским по коду 7312 отражаются ремонтные </w:t>
      </w:r>
      <w:r>
        <w:br w:type="textWrapping" w:clear="all"/>
      </w:r>
      <w:r>
        <w:t>и ремонтно</w:t>
      </w:r>
      <w:r>
        <w:t>-механические мастерские, заводы для производства капитального ремонта сельскохозяйственных машин, инвентаря и тракторов в стационарных условиях. Не учитываются в составе ремонтных мастерских передвижные ремонтные мастерские и пункты технического обслужива</w:t>
      </w:r>
      <w:r>
        <w:t>ния.</w:t>
      </w:r>
    </w:p>
    <w:p w:rsidR="00894D5B" w:rsidRDefault="00DC1760">
      <w:pPr>
        <w:widowControl w:val="0"/>
        <w:spacing w:line="355" w:lineRule="auto"/>
      </w:pPr>
      <w:r>
        <w:t xml:space="preserve">37. По коду 7313 отражаются данные по вводу в действие материально-технических баз хранения сельскохозяйственных машин, которые включают </w:t>
      </w:r>
      <w:r>
        <w:br w:type="textWrapping" w:clear="all"/>
      </w:r>
      <w:r>
        <w:t>в себя закрытые помещения для хранения машин, склады для хранения составных частей, снимаемых с машин. Навесы, от</w:t>
      </w:r>
      <w:r>
        <w:t xml:space="preserve">крытые оборудованные площадки для хранения машин, </w:t>
      </w:r>
      <w:r>
        <w:rPr>
          <w:shd w:val="clear" w:color="auto" w:fill="FFFFFF"/>
        </w:rPr>
        <w:t xml:space="preserve">площадки для сбора и регулировки </w:t>
      </w:r>
      <w:r>
        <w:rPr>
          <w:bCs/>
          <w:shd w:val="clear" w:color="auto" w:fill="FFFFFF"/>
        </w:rPr>
        <w:t xml:space="preserve">машин </w:t>
      </w:r>
      <w:r>
        <w:rPr>
          <w:shd w:val="clear" w:color="auto" w:fill="FFFFFF"/>
        </w:rPr>
        <w:br w:type="textWrapping" w:clear="all"/>
      </w:r>
      <w:r>
        <w:rPr>
          <w:shd w:val="clear" w:color="auto" w:fill="FFFFFF"/>
        </w:rPr>
        <w:t>и комплектования агрегатов</w:t>
      </w:r>
      <w:r>
        <w:t xml:space="preserve"> и другие постройки некапитального типа </w:t>
      </w:r>
      <w:r>
        <w:rPr>
          <w:rFonts w:eastAsia="Calibri"/>
          <w:lang w:eastAsia="en-US"/>
        </w:rPr>
        <w:br w:type="textWrapping" w:clear="all"/>
      </w:r>
      <w:r>
        <w:t>по данному коду мощности не отражаются.</w:t>
      </w:r>
    </w:p>
    <w:p w:rsidR="00894D5B" w:rsidRDefault="00DC1760">
      <w:pPr>
        <w:spacing w:line="355" w:lineRule="auto"/>
      </w:pPr>
      <w:r>
        <w:t>38. Во ввод в действие орошаемых земель по коду 7510 включа</w:t>
      </w:r>
      <w:r>
        <w:t xml:space="preserve">ются новые, орошаемые в результате строительства оросительных систем </w:t>
      </w:r>
      <w:r>
        <w:br w:type="textWrapping" w:clear="all"/>
      </w:r>
      <w:r>
        <w:t>и сооружений (каналов, водохранилищ), земли сенокосов и пастбищ, земли, предназначенные для посева сельскохозяйственных культур, многолетних насаждений, на которых имеется постоянная и в</w:t>
      </w:r>
      <w:r>
        <w:t xml:space="preserve">ременная оросительная сеть, связанная с источником орошения, водные ресурсы  которого обеспечивают полив этих земель. Во вводе орошаемых земель учитываются также земли лиманного орошения. Земли для создания прудовых, рыбоводных хозяйств </w:t>
      </w:r>
      <w:r>
        <w:br/>
        <w:t xml:space="preserve">во ввод орошаемых </w:t>
      </w:r>
      <w:r>
        <w:t>земель не включаются.</w:t>
      </w:r>
    </w:p>
    <w:p w:rsidR="00894D5B" w:rsidRDefault="00DC1760">
      <w:pPr>
        <w:spacing w:line="355" w:lineRule="auto"/>
      </w:pPr>
      <w:r>
        <w:t xml:space="preserve">Если при строительстве оросительной системы в соответствии с проектом предварительно требуется проведение осушительных работ (обвалование </w:t>
      </w:r>
      <w:r>
        <w:br w:type="textWrapping" w:clear="all"/>
      </w:r>
      <w:r>
        <w:t xml:space="preserve">при заполнении земель паводковыми водами, предварительное осушение </w:t>
      </w:r>
      <w:r>
        <w:lastRenderedPageBreak/>
        <w:t>земель для обеспечения произ</w:t>
      </w:r>
      <w:r>
        <w:t xml:space="preserve">водства строительных работ и так далее), </w:t>
      </w:r>
      <w:r>
        <w:br w:type="textWrapping" w:clear="all"/>
      </w:r>
      <w:r>
        <w:t xml:space="preserve">то в форме должен быть показан ввод только орошаемых земель после окончания всего комплекса работ по орошению и приемки в эксплуатацию </w:t>
      </w:r>
      <w:r>
        <w:br/>
        <w:t>в установленном порядке.</w:t>
      </w:r>
    </w:p>
    <w:p w:rsidR="00894D5B" w:rsidRDefault="00DC1760">
      <w:pPr>
        <w:spacing w:line="355" w:lineRule="auto"/>
      </w:pPr>
      <w:r>
        <w:t>В случаях, когда на ранее орошаемых участках построен</w:t>
      </w:r>
      <w:r>
        <w:t>а полностью новая инженерная оросительная сеть, площадь этих участков должна быть учтена как вновь построенная, а ранее учтенная площадь должна быть списана как полностью перекрытая новым строительством.</w:t>
      </w:r>
    </w:p>
    <w:p w:rsidR="00894D5B" w:rsidRDefault="00DC1760">
      <w:pPr>
        <w:widowControl w:val="0"/>
        <w:spacing w:line="355" w:lineRule="auto"/>
      </w:pPr>
      <w:r>
        <w:t>Во ввод в действие орошаемых земель включаются площа</w:t>
      </w:r>
      <w:r>
        <w:t xml:space="preserve">ди, поливаемые </w:t>
      </w:r>
      <w:r>
        <w:br w:type="textWrapping" w:clear="all"/>
      </w:r>
      <w:r>
        <w:t>из очищенных стоков от животноводческих ферм и промышленных предприятий, а также орошаемые подземными водами.</w:t>
      </w:r>
    </w:p>
    <w:p w:rsidR="00894D5B" w:rsidRDefault="00DC1760">
      <w:pPr>
        <w:widowControl w:val="0"/>
        <w:spacing w:line="355" w:lineRule="auto"/>
      </w:pPr>
      <w:r>
        <w:t>В площадь орошаемых земель включаются земли, которые могут постоянно орошаться при помощи передвижного ирригационного оборудования</w:t>
      </w:r>
      <w:r>
        <w:t xml:space="preserve"> с фиксированным одним или несколькими оборудованными водозаборами.</w:t>
      </w:r>
    </w:p>
    <w:p w:rsidR="00894D5B" w:rsidRDefault="00DC1760">
      <w:pPr>
        <w:widowControl w:val="0"/>
        <w:spacing w:line="355" w:lineRule="auto"/>
      </w:pPr>
      <w:r>
        <w:t>В составе введенных орошаемых земель не учитываются площади:</w:t>
      </w:r>
    </w:p>
    <w:p w:rsidR="00894D5B" w:rsidRDefault="00DC1760">
      <w:pPr>
        <w:widowControl w:val="0"/>
        <w:spacing w:line="355" w:lineRule="auto"/>
      </w:pPr>
      <w:r>
        <w:t>если участки, поливаемые при помощи передвижного ирригационного оборудования, не постоянны и места водозабора не фиксированы;</w:t>
      </w:r>
    </w:p>
    <w:p w:rsidR="00894D5B" w:rsidRDefault="00DC1760">
      <w:pPr>
        <w:spacing w:line="355" w:lineRule="auto"/>
      </w:pPr>
      <w:r>
        <w:t>если на территории ранее построенного мелиоративного объекта существующая оросительная сеть подвергалась реконструкции;</w:t>
      </w:r>
    </w:p>
    <w:p w:rsidR="00894D5B" w:rsidRDefault="00DC1760">
      <w:pPr>
        <w:spacing w:line="355" w:lineRule="auto"/>
      </w:pPr>
      <w:r>
        <w:t>если на богарных землях произведены влагозарядковые, промывные, вегетационные поливы без проведения капитальных работ.</w:t>
      </w:r>
    </w:p>
    <w:p w:rsidR="00894D5B" w:rsidRDefault="00DC1760">
      <w:pPr>
        <w:spacing w:line="355" w:lineRule="auto"/>
      </w:pPr>
      <w:r>
        <w:t xml:space="preserve">39. Из кода 7510 </w:t>
      </w:r>
      <w:r>
        <w:t xml:space="preserve">«Орошение земель» выделяются данные </w:t>
      </w:r>
      <w:r>
        <w:rPr>
          <w:rFonts w:eastAsia="Calibri"/>
          <w:lang w:eastAsia="en-US"/>
        </w:rPr>
        <w:br w:type="textWrapping" w:clear="all"/>
      </w:r>
      <w:r>
        <w:t xml:space="preserve">по орошаемым сенокосам и пастбищам с кодом 7513. К орошаемым сенокосам и пастбищам относятся площади, на которых проведен полностью весь комплекс работ по коренному улучшению и подготовке к залужению </w:t>
      </w:r>
      <w:r>
        <w:rPr>
          <w:rFonts w:eastAsia="Calibri"/>
          <w:lang w:eastAsia="en-US"/>
        </w:rPr>
        <w:br w:type="textWrapping" w:clear="all"/>
      </w:r>
      <w:r>
        <w:t>под пастбища (расч</w:t>
      </w:r>
      <w:r>
        <w:t>истка пастбищ от леса, кустарника, пней и камней, выравнивание площадей после раскорчевки, срезка и разделка кочек и другие работы), а также произведен посев многолетних лугопастбищных трав.</w:t>
      </w:r>
    </w:p>
    <w:p w:rsidR="00894D5B" w:rsidRDefault="00DC1760">
      <w:pPr>
        <w:spacing w:line="355" w:lineRule="auto"/>
      </w:pPr>
      <w:r>
        <w:t>40. По комплексной реконструкции орошаемых земель по коду 7525 по</w:t>
      </w:r>
      <w:r>
        <w:t xml:space="preserve">казывается ввод в действие площадей, на которых осуществлена </w:t>
      </w:r>
      <w:r>
        <w:lastRenderedPageBreak/>
        <w:t xml:space="preserve">реконструкция оросительной сети или реконструкция оросительной сети одновременно с работами по строительству и реконструкции коллекторно-дренажной сети, повышению водообеспеченности оросительной </w:t>
      </w:r>
      <w:r>
        <w:t xml:space="preserve">системы, капитальной планировке орошаемых земель и других видов работ </w:t>
      </w:r>
      <w:r>
        <w:rPr>
          <w:rFonts w:eastAsia="Calibri"/>
          <w:lang w:eastAsia="en-US"/>
        </w:rPr>
        <w:br w:type="textWrapping" w:clear="all"/>
      </w:r>
      <w:r>
        <w:t>в необходимых объемах.</w:t>
      </w:r>
    </w:p>
    <w:p w:rsidR="00894D5B" w:rsidRDefault="00DC1760">
      <w:pPr>
        <w:widowControl w:val="0"/>
        <w:spacing w:line="355" w:lineRule="auto"/>
      </w:pPr>
      <w:r>
        <w:t xml:space="preserve">41. По обводнению пастбищ по коду 7541 приводятся данные о вводе </w:t>
      </w:r>
      <w:r>
        <w:rPr>
          <w:rFonts w:eastAsia="Calibri"/>
          <w:lang w:eastAsia="en-US"/>
        </w:rPr>
        <w:br w:type="textWrapping" w:clear="all"/>
      </w:r>
      <w:r>
        <w:t>в эксплуатацию вновь обводненных пастбищ в результате строительства новых обводнительных сооруже</w:t>
      </w:r>
      <w:r>
        <w:t>ний (колодцев, водоемов, водопроводов и так далее). Площадь ранее обводненных пастбищ, на которых проведена реконструкция действующих обводнительных сооружений, показывается по коду 7545.</w:t>
      </w:r>
    </w:p>
    <w:p w:rsidR="00894D5B" w:rsidRDefault="00DC1760">
      <w:pPr>
        <w:widowControl w:val="0"/>
        <w:spacing w:line="355" w:lineRule="auto"/>
      </w:pPr>
      <w:r>
        <w:t xml:space="preserve">42. По коду 7550 учитывается ввод в действие осушенных земель </w:t>
      </w:r>
      <w:r>
        <w:rPr>
          <w:rFonts w:eastAsia="Calibri"/>
          <w:lang w:eastAsia="en-US"/>
        </w:rPr>
        <w:br w:type="textWrapping" w:clear="all"/>
      </w:r>
      <w:r>
        <w:t>за счет строительства и реконструкции действующей осушительной внутрихозяйственной сети, включая закрытый дренаж и открытую осушительную сеть.</w:t>
      </w:r>
    </w:p>
    <w:p w:rsidR="00894D5B" w:rsidRDefault="00DC1760">
      <w:pPr>
        <w:widowControl w:val="0"/>
        <w:spacing w:line="355" w:lineRule="auto"/>
      </w:pPr>
      <w:r>
        <w:t xml:space="preserve">Реконструкция осушительных систем производится на землях </w:t>
      </w:r>
      <w:r>
        <w:br w:type="textWrapping" w:clear="all"/>
      </w:r>
      <w:r>
        <w:t>с существующей осушительной сетью, на которых требуется</w:t>
      </w:r>
      <w:r>
        <w:t xml:space="preserve"> провести </w:t>
      </w:r>
      <w:r>
        <w:rPr>
          <w:rFonts w:eastAsia="Calibri"/>
          <w:lang w:eastAsia="en-US"/>
        </w:rPr>
        <w:br w:type="textWrapping" w:clear="all"/>
      </w:r>
      <w:r>
        <w:t xml:space="preserve">ряд дополнительных мероприятий по регулированию водоприемника, переустройству открытой сети на закрытый дренаж, восстановлению разрушенных участков осушительной сети или закрытого дренажа, </w:t>
      </w:r>
      <w:r>
        <w:br w:type="textWrapping" w:clear="all"/>
      </w:r>
      <w:r>
        <w:t>по проведению культуртехнических работ на этих землях и</w:t>
      </w:r>
      <w:r>
        <w:t xml:space="preserve"> других мероприятий, предусмотренных в проектах по переустройству.</w:t>
      </w:r>
    </w:p>
    <w:p w:rsidR="00894D5B" w:rsidRDefault="00DC1760">
      <w:pPr>
        <w:widowControl w:val="0"/>
        <w:spacing w:line="355" w:lineRule="auto"/>
      </w:pPr>
      <w:r>
        <w:t>Если при строительстве, реконструкции какой-либо осушительной системы в оборот вовлекаются новые (целинные) земли, то они считаются вновь осушенными.</w:t>
      </w:r>
    </w:p>
    <w:p w:rsidR="00894D5B" w:rsidRDefault="00DC1760">
      <w:pPr>
        <w:spacing w:line="355" w:lineRule="auto"/>
      </w:pPr>
      <w:r>
        <w:t>43. По культуртехническим работам на се</w:t>
      </w:r>
      <w:r>
        <w:t xml:space="preserve">льскохозяйственных угодьях, </w:t>
      </w:r>
      <w:r>
        <w:br w:type="textWrapping" w:clear="all"/>
      </w:r>
      <w:r>
        <w:t xml:space="preserve">не требующих осушения (код 7560), показываются площади только </w:t>
      </w:r>
      <w:r>
        <w:br/>
        <w:t xml:space="preserve">тех участков, на которых выполнен весь комплекс работ, предусмотренный проектно-сметной документацией. </w:t>
      </w:r>
    </w:p>
    <w:p w:rsidR="00894D5B" w:rsidRDefault="00DC1760">
      <w:pPr>
        <w:spacing w:line="355" w:lineRule="auto"/>
      </w:pPr>
      <w:r>
        <w:t>К культуртехническим работам на сельскохозяйственных угодьях</w:t>
      </w:r>
      <w:r>
        <w:t xml:space="preserve">, </w:t>
      </w:r>
      <w:r>
        <w:br/>
        <w:t xml:space="preserve">не требующих осушения, относятся: расчистка земель от леса, кустарника, пней </w:t>
      </w:r>
      <w:r>
        <w:br w:type="textWrapping" w:clear="all"/>
      </w:r>
      <w:r>
        <w:t xml:space="preserve">и камней, выравнивание площадей после раскорчевки, срезка и разделка кочек, </w:t>
      </w:r>
      <w:r>
        <w:lastRenderedPageBreak/>
        <w:t xml:space="preserve">фрезерование, подъем целины и залежных земель, распашка которых </w:t>
      </w:r>
      <w:r>
        <w:br w:type="textWrapping" w:clear="all"/>
      </w:r>
      <w:r>
        <w:t>не производилась пять лет и более,</w:t>
      </w:r>
      <w:r>
        <w:t xml:space="preserve"> с разделкой пласта и прикатыванием </w:t>
      </w:r>
      <w:r>
        <w:br w:type="textWrapping" w:clear="all"/>
      </w:r>
      <w:r>
        <w:t>этих земель.</w:t>
      </w:r>
    </w:p>
    <w:p w:rsidR="00894D5B" w:rsidRDefault="00DC1760">
      <w:pPr>
        <w:spacing w:line="348" w:lineRule="auto"/>
        <w:rPr>
          <w:bCs/>
        </w:rPr>
      </w:pPr>
      <w:r>
        <w:rPr>
          <w:bCs/>
        </w:rPr>
        <w:t>Рыболовство и рыбоводство (код ОКВЭД 2 – «03»)</w:t>
      </w:r>
    </w:p>
    <w:p w:rsidR="00894D5B" w:rsidRDefault="00DC1760">
      <w:pPr>
        <w:spacing w:line="348" w:lineRule="auto"/>
      </w:pPr>
      <w:r>
        <w:t xml:space="preserve">44. По коду 166 отражаются специализированные рыборазводные предприятия (в млн. штук молоди/личинок) для искусственного разведения, выведения и выращивания на </w:t>
      </w:r>
      <w:r>
        <w:t xml:space="preserve">ранних стадиях жизни морских животных, рыб </w:t>
      </w:r>
      <w:r>
        <w:br/>
        <w:t>и моллюсков.</w:t>
      </w:r>
    </w:p>
    <w:p w:rsidR="00894D5B" w:rsidRDefault="00DC1760">
      <w:pPr>
        <w:spacing w:line="348" w:lineRule="auto"/>
        <w:rPr>
          <w:bCs/>
        </w:rPr>
      </w:pPr>
      <w:r>
        <w:rPr>
          <w:bCs/>
        </w:rPr>
        <w:t>Добыча нефти и природного газа (код ОКВЭД 2 – «06»)</w:t>
      </w:r>
    </w:p>
    <w:p w:rsidR="00894D5B" w:rsidRDefault="00DC1760">
      <w:pPr>
        <w:widowControl w:val="0"/>
        <w:spacing w:line="348" w:lineRule="auto"/>
      </w:pPr>
      <w:r>
        <w:t xml:space="preserve">Обращаем внимание, что выдача разрешений на строительство, реконструкцию буровых скважин не требуется, если строительство </w:t>
      </w:r>
      <w:r>
        <w:rPr>
          <w:rFonts w:eastAsia="Calibri"/>
          <w:lang w:eastAsia="en-US"/>
        </w:rPr>
        <w:br w:type="textWrapping" w:clear="all"/>
      </w:r>
      <w:r>
        <w:t>и (или) реконструкция пр</w:t>
      </w:r>
      <w:r>
        <w:t xml:space="preserve">едусмотрены подготовленным, согласованным </w:t>
      </w:r>
      <w:r>
        <w:rPr>
          <w:rFonts w:eastAsia="Calibri"/>
          <w:lang w:eastAsia="en-US"/>
        </w:rPr>
        <w:br w:type="textWrapping" w:clear="all"/>
      </w:r>
      <w:r>
        <w:t>и утвержденным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 (пункт 4.2 части 17 статьи 51 Градостр</w:t>
      </w:r>
      <w:r>
        <w:t>оительного кодекса Российской Федерации).</w:t>
      </w:r>
    </w:p>
    <w:p w:rsidR="00894D5B" w:rsidRDefault="00DC1760">
      <w:pPr>
        <w:widowControl w:val="0"/>
        <w:spacing w:line="348" w:lineRule="auto"/>
      </w:pPr>
      <w:r>
        <w:t xml:space="preserve">45. По кодам 1212 «Скважины нефтяные эксплуатационного бурения», 1412 «Скважины газовые эксплуатационного бурения» отражаются данные </w:t>
      </w:r>
      <w:r>
        <w:rPr>
          <w:rFonts w:eastAsia="Calibri"/>
          <w:lang w:eastAsia="en-US"/>
        </w:rPr>
        <w:br w:type="textWrapping" w:clear="all"/>
      </w:r>
      <w:r>
        <w:t xml:space="preserve">о количестве введенных в эксплуатацию вновь построенных скважин. </w:t>
      </w:r>
      <w:r>
        <w:rPr>
          <w:rFonts w:eastAsia="Calibri"/>
          <w:lang w:eastAsia="en-US"/>
        </w:rPr>
        <w:br w:type="textWrapping" w:clear="all"/>
      </w:r>
      <w:r>
        <w:t>Для вышеуказан</w:t>
      </w:r>
      <w:r>
        <w:t>ных скважин в обязательном порядке отражается годовой объем добычи нефти и газа соответственно по кодам 1213, 1413 согласно технико-экономическим показателям разработки месторождения.</w:t>
      </w:r>
    </w:p>
    <w:p w:rsidR="00894D5B" w:rsidRDefault="00DC1760">
      <w:pPr>
        <w:widowControl w:val="0"/>
        <w:spacing w:line="348" w:lineRule="auto"/>
      </w:pPr>
      <w:r>
        <w:t>Реконструкция нефтяных (газовых) скважин – это изменение показателей про</w:t>
      </w:r>
      <w:r>
        <w:t xml:space="preserve">изводительности, объемов и качества инженерного оснащения, </w:t>
      </w:r>
      <w:r>
        <w:rPr>
          <w:rFonts w:eastAsia="Calibri"/>
          <w:lang w:eastAsia="en-US"/>
        </w:rPr>
        <w:br w:type="textWrapping" w:clear="all"/>
      </w:r>
      <w:r>
        <w:t xml:space="preserve">что в конечном итоге приводит к увеличению объемов добычи нефти (газа) </w:t>
      </w:r>
      <w:r>
        <w:rPr>
          <w:rFonts w:eastAsia="Calibri"/>
          <w:lang w:eastAsia="en-US"/>
        </w:rPr>
        <w:br w:type="textWrapping" w:clear="all"/>
      </w:r>
      <w:r>
        <w:t>из месторождений. В связи с этим, реконструкция нефтяных (газовых) скважин эксплуатационного бурения отражается только по ко</w:t>
      </w:r>
      <w:r>
        <w:t>дам мощности 1213, 1413 соответственно.</w:t>
      </w:r>
    </w:p>
    <w:p w:rsidR="00894D5B" w:rsidRDefault="00DC1760">
      <w:pPr>
        <w:shd w:val="clear" w:color="auto" w:fill="FFFFFF"/>
        <w:spacing w:line="348" w:lineRule="auto"/>
        <w:rPr>
          <w:bCs/>
        </w:rPr>
      </w:pPr>
      <w:r>
        <w:rPr>
          <w:bCs/>
        </w:rPr>
        <w:t xml:space="preserve">Предоставление услуг в области добычи полезных ископаемых </w:t>
      </w:r>
      <w:r>
        <w:rPr>
          <w:bCs/>
        </w:rPr>
        <w:br/>
        <w:t>(код ОКВЭД 2 – «09»)</w:t>
      </w:r>
    </w:p>
    <w:p w:rsidR="00894D5B" w:rsidRDefault="00DC1760">
      <w:pPr>
        <w:widowControl w:val="0"/>
        <w:spacing w:line="348" w:lineRule="auto"/>
      </w:pPr>
      <w:r>
        <w:t xml:space="preserve">46. По кодам 1211 «Скважины нефтяные разведочного бурения», 1411 «Скважины газовые разведочного бурения» отражаются данные о количестве </w:t>
      </w:r>
      <w:r>
        <w:lastRenderedPageBreak/>
        <w:t>введенных в эксплуатацию вновь построенных скважин. Для скважин разведочного бурения данные по объему добычи нефти (газа) могут отсутствовать.</w:t>
      </w:r>
    </w:p>
    <w:p w:rsidR="00894D5B" w:rsidRDefault="00DC1760">
      <w:pPr>
        <w:widowControl w:val="0"/>
        <w:spacing w:line="355" w:lineRule="auto"/>
      </w:pPr>
      <w:r>
        <w:t>Реконструкция нефтяных (газовых) скважин – это изменение показателей производительности, объемов и качества инжен</w:t>
      </w:r>
      <w:r>
        <w:t xml:space="preserve">ерного оснащения, </w:t>
      </w:r>
      <w:r>
        <w:rPr>
          <w:rFonts w:eastAsia="Calibri"/>
          <w:lang w:eastAsia="en-US"/>
        </w:rPr>
        <w:br w:type="textWrapping" w:clear="all"/>
      </w:r>
      <w:r>
        <w:t xml:space="preserve">что в конечном итоге приводит к увеличению объемов добычи нефти (газа) </w:t>
      </w:r>
      <w:r>
        <w:rPr>
          <w:rFonts w:eastAsia="Calibri"/>
          <w:lang w:eastAsia="en-US"/>
        </w:rPr>
        <w:br w:type="textWrapping" w:clear="all"/>
      </w:r>
      <w:r>
        <w:t>из месторождений. В связи с этим, реконструкция нефтяных (газовых) скважин разведочного бурения отражается соответственно только по кодам мощности 1214, 1414 при осу</w:t>
      </w:r>
      <w:r>
        <w:t>ществлении добычи нефти (газа) из этих скважин.</w:t>
      </w:r>
    </w:p>
    <w:p w:rsidR="00894D5B" w:rsidRDefault="00DC1760">
      <w:pPr>
        <w:shd w:val="clear" w:color="auto" w:fill="FFFFFF"/>
        <w:spacing w:line="355" w:lineRule="auto"/>
        <w:rPr>
          <w:bCs/>
        </w:rPr>
      </w:pPr>
      <w:r>
        <w:rPr>
          <w:bCs/>
        </w:rPr>
        <w:t>Производство пищевых продуктов (код ОКВЭД 2 – «10»)</w:t>
      </w:r>
    </w:p>
    <w:p w:rsidR="00894D5B" w:rsidRDefault="00DC1760">
      <w:pPr>
        <w:widowControl w:val="0"/>
        <w:spacing w:line="355" w:lineRule="auto"/>
      </w:pPr>
      <w:r>
        <w:t>47. По коду 147 отражается строительство предприятий по производству корма для домашних животных (производство готовых кормов для животных, включая корм для</w:t>
      </w:r>
      <w:r>
        <w:t xml:space="preserve"> собак, кошек, птиц, рыб и так далее).</w:t>
      </w:r>
    </w:p>
    <w:p w:rsidR="00894D5B" w:rsidRDefault="00DC1760">
      <w:pPr>
        <w:widowControl w:val="0"/>
        <w:spacing w:line="355" w:lineRule="auto"/>
      </w:pPr>
      <w:r>
        <w:t xml:space="preserve">48. По коду 148 отражается ввод в действие цехов по убою скота </w:t>
      </w:r>
      <w:r>
        <w:br/>
        <w:t>(в тоннах скота (животных) в смену), осуществляющих убой и первичную переработку животных на мясокомбинатах, мясохладобойнях (включая убойные пункты).</w:t>
      </w:r>
    </w:p>
    <w:p w:rsidR="00894D5B" w:rsidRDefault="00DC1760">
      <w:pPr>
        <w:spacing w:line="355" w:lineRule="auto"/>
      </w:pPr>
      <w:r>
        <w:t>49</w:t>
      </w:r>
      <w:r>
        <w:t>. При отражении данных по вводу комбикормовых цехов по коду 7181 учитываются данные по заводам, входящим в состав животноводческих комплексов, а также цехам по производству сухих кормовых смесей.</w:t>
      </w:r>
    </w:p>
    <w:p w:rsidR="00894D5B" w:rsidRDefault="00DC1760">
      <w:pPr>
        <w:shd w:val="clear" w:color="auto" w:fill="FFFFFF"/>
        <w:spacing w:line="355" w:lineRule="auto"/>
        <w:rPr>
          <w:bCs/>
        </w:rPr>
      </w:pPr>
      <w:r>
        <w:rPr>
          <w:bCs/>
        </w:rPr>
        <w:t>Производство напитков (код ОКВЭД 2 – «11»)</w:t>
      </w:r>
    </w:p>
    <w:p w:rsidR="00894D5B" w:rsidRDefault="00DC1760">
      <w:pPr>
        <w:spacing w:line="355" w:lineRule="auto"/>
      </w:pPr>
      <w:r>
        <w:t xml:space="preserve">50. Производство воды питьевой показывается по коду 5357 и включает </w:t>
      </w:r>
      <w:r>
        <w:br w:type="textWrapping" w:clear="all"/>
      </w:r>
      <w:r>
        <w:t>в себя производство упакованных природных питьевых вод или упакованных обработанных питьевых вод.</w:t>
      </w:r>
    </w:p>
    <w:p w:rsidR="00894D5B" w:rsidRDefault="00DC1760">
      <w:pPr>
        <w:spacing w:line="355" w:lineRule="auto"/>
      </w:pPr>
      <w:r>
        <w:t>Обработка древесины и производство изделий из дерева и пробки, кроме мебели, производство</w:t>
      </w:r>
      <w:r>
        <w:t xml:space="preserve"> изделий из соломки и материалов для плетения </w:t>
      </w:r>
      <w:r>
        <w:br/>
        <w:t>(код ОКВЭД 2 – «16»)</w:t>
      </w:r>
    </w:p>
    <w:p w:rsidR="00894D5B" w:rsidRDefault="00DC1760">
      <w:pPr>
        <w:spacing w:line="355" w:lineRule="auto"/>
      </w:pPr>
      <w:r>
        <w:t xml:space="preserve">51. По коду 4324 отражается производство топливных брикетов (пеллетов). Топливные брикеты – это вид твердого топлива, альтернатива обычным дровам и углю, представляющее собой прессованную </w:t>
      </w:r>
      <w:r>
        <w:t xml:space="preserve">массу </w:t>
      </w:r>
      <w:r>
        <w:br w:type="textWrapping" w:clear="all"/>
      </w:r>
      <w:r>
        <w:t xml:space="preserve">из отходов деревообработки (опилки, щепа, стружки и другие), сельского </w:t>
      </w:r>
      <w:r>
        <w:lastRenderedPageBreak/>
        <w:t>хозяйства (сено, солома, сосновые иголки, листья, шелуха семян и другие), торфа, крошки каменного угля. Пеллеты (топливные гранулы) – биотопливо, получаемое из торфа, древесных о</w:t>
      </w:r>
      <w:r>
        <w:t>тходов и отходов сельского хозяйства.</w:t>
      </w:r>
    </w:p>
    <w:p w:rsidR="00894D5B" w:rsidRDefault="00DC1760">
      <w:pPr>
        <w:shd w:val="clear" w:color="auto" w:fill="FFFFFF"/>
        <w:spacing w:line="355" w:lineRule="auto"/>
        <w:rPr>
          <w:bCs/>
        </w:rPr>
      </w:pPr>
      <w:r>
        <w:rPr>
          <w:bCs/>
        </w:rPr>
        <w:t>Производство бумаги и бумажных изделий (код ОКВЭД 2 – «17»)</w:t>
      </w:r>
    </w:p>
    <w:p w:rsidR="00894D5B" w:rsidRDefault="00DC1760">
      <w:pPr>
        <w:shd w:val="clear" w:color="auto" w:fill="FFFFFF"/>
        <w:spacing w:line="355" w:lineRule="auto"/>
      </w:pPr>
      <w:r>
        <w:t xml:space="preserve">52. По коду 150 отражаются предприятия по производству предметов гигиены – предприятия по производству изделий хозяйственного назначения </w:t>
      </w:r>
      <w:r>
        <w:br/>
        <w:t>и для личной гигиены</w:t>
      </w:r>
      <w:r>
        <w:t xml:space="preserve"> из бумаги и медицинского алигнина, включая: косметические салфетки, носовые платки, полотенца, салфетки для сервировки стола, туалетную бумагу, гигиенические полотенца и тампоны, детские пеленки и подгузники, стаканчики, тарелки и подносы.</w:t>
      </w:r>
    </w:p>
    <w:p w:rsidR="00894D5B" w:rsidRDefault="00DC1760">
      <w:pPr>
        <w:shd w:val="clear" w:color="auto" w:fill="FFFFFF"/>
        <w:spacing w:line="355" w:lineRule="auto"/>
      </w:pPr>
      <w:r>
        <w:t>Производство хи</w:t>
      </w:r>
      <w:r>
        <w:t xml:space="preserve">мических веществ и химических продуктов </w:t>
      </w:r>
      <w:r>
        <w:br/>
        <w:t>(код ОКВЭД 2 – «20»)</w:t>
      </w:r>
    </w:p>
    <w:p w:rsidR="00894D5B" w:rsidRDefault="00DC1760">
      <w:pPr>
        <w:shd w:val="clear" w:color="auto" w:fill="FFFFFF"/>
        <w:spacing w:line="355" w:lineRule="auto"/>
      </w:pPr>
      <w:r>
        <w:t>53. Производство технического и медицинского кислорода показывается по коду 2112. Технический кислород предназначен для газопламенной обработки металлов и другого технического применения, медици</w:t>
      </w:r>
      <w:r>
        <w:t xml:space="preserve">нский — </w:t>
      </w:r>
      <w:r>
        <w:br/>
        <w:t xml:space="preserve">для дыхания и в лечебных целях. Он используется в различных медицинских процедурах, при создании дыхательных смесей для аквалангов </w:t>
      </w:r>
      <w:r>
        <w:br/>
        <w:t>и изолирующих противогазов.</w:t>
      </w:r>
    </w:p>
    <w:p w:rsidR="00894D5B" w:rsidRDefault="00DC1760">
      <w:pPr>
        <w:spacing w:line="355" w:lineRule="auto"/>
        <w:rPr>
          <w:bCs/>
        </w:rPr>
      </w:pPr>
      <w:r>
        <w:rPr>
          <w:bCs/>
        </w:rPr>
        <w:t xml:space="preserve">Производство резиновых и пластмассовых изделий (код ОКВЭД 2 – «22») </w:t>
      </w:r>
    </w:p>
    <w:p w:rsidR="00894D5B" w:rsidRDefault="00DC1760">
      <w:pPr>
        <w:spacing w:line="355" w:lineRule="auto"/>
      </w:pPr>
      <w:r>
        <w:t>54. По коду 1139 «</w:t>
      </w:r>
      <w:r>
        <w:t xml:space="preserve">Прочие пластмассовые изделия» отражаются данные по вводу в действие объектов (мощностей) по производству широкого ассортимента новых изделий из пластмасс или в результате переработки </w:t>
      </w:r>
      <w:r>
        <w:rPr>
          <w:rFonts w:eastAsia="Calibri"/>
          <w:lang w:eastAsia="en-US"/>
        </w:rPr>
        <w:br w:type="textWrapping" w:clear="all"/>
      </w:r>
      <w:r>
        <w:t>уже использованных пластмассовых изделий в субпродукты или готовые проду</w:t>
      </w:r>
      <w:r>
        <w:t>кты с использованием таких процессов как формовка под прессом, штамповка, выдувание и литье.</w:t>
      </w:r>
    </w:p>
    <w:p w:rsidR="00894D5B" w:rsidRDefault="00DC1760">
      <w:pPr>
        <w:spacing w:line="355" w:lineRule="auto"/>
      </w:pPr>
      <w:r>
        <w:rPr>
          <w:bCs/>
        </w:rPr>
        <w:t xml:space="preserve">Производство прочей неметаллической минеральной продукции </w:t>
      </w:r>
      <w:r>
        <w:rPr>
          <w:bCs/>
        </w:rPr>
        <w:br/>
        <w:t>(код ОКВЭД 2 – «23»)</w:t>
      </w:r>
    </w:p>
    <w:p w:rsidR="00894D5B" w:rsidRDefault="00DC1760">
      <w:pPr>
        <w:widowControl w:val="0"/>
        <w:spacing w:line="355" w:lineRule="auto"/>
        <w:rPr>
          <w:shd w:val="clear" w:color="auto" w:fill="FFFFFF"/>
        </w:rPr>
      </w:pPr>
      <w:r>
        <w:t xml:space="preserve">55. По коду 4323 «Асфальтобетон» отражаются данные по вводу </w:t>
      </w:r>
      <w:r>
        <w:br w:type="textWrapping" w:clear="all"/>
      </w:r>
      <w:r>
        <w:t xml:space="preserve">в действие объектов (мощностей) по производству </w:t>
      </w:r>
      <w:r>
        <w:rPr>
          <w:bCs/>
          <w:shd w:val="clear" w:color="auto" w:fill="FFFFFF"/>
        </w:rPr>
        <w:t>асфальтобетона –</w:t>
      </w:r>
      <w:r>
        <w:rPr>
          <w:shd w:val="clear" w:color="auto" w:fill="FFFFFF"/>
        </w:rPr>
        <w:t xml:space="preserve"> искусственного </w:t>
      </w:r>
      <w:hyperlink r:id="rId11" w:tooltip="Строительный материал" w:history="1">
        <w:r>
          <w:rPr>
            <w:rStyle w:val="af3"/>
            <w:color w:val="auto"/>
            <w:u w:val="none"/>
            <w:shd w:val="clear" w:color="auto" w:fill="FFFFFF"/>
          </w:rPr>
          <w:t>строительного материал</w:t>
        </w:r>
      </w:hyperlink>
      <w:r>
        <w:t>а</w:t>
      </w:r>
      <w:r>
        <w:rPr>
          <w:shd w:val="clear" w:color="auto" w:fill="FFFFFF"/>
        </w:rPr>
        <w:t xml:space="preserve">, полученного в результате смешения и уплотнения подобранной в необходимых соотношениях и специально </w:t>
      </w:r>
      <w:r>
        <w:rPr>
          <w:shd w:val="clear" w:color="auto" w:fill="FFFFFF"/>
        </w:rPr>
        <w:lastRenderedPageBreak/>
        <w:t xml:space="preserve">приготовленной </w:t>
      </w:r>
      <w:r>
        <w:rPr>
          <w:bCs/>
          <w:shd w:val="clear" w:color="auto" w:fill="FFFFFF"/>
        </w:rPr>
        <w:t>асфальтобетонной</w:t>
      </w:r>
      <w:r>
        <w:t xml:space="preserve"> </w:t>
      </w:r>
      <w:hyperlink r:id="rId12" w:tooltip="Смесь" w:history="1">
        <w:r>
          <w:rPr>
            <w:rStyle w:val="af3"/>
            <w:color w:val="auto"/>
            <w:u w:val="none"/>
            <w:shd w:val="clear" w:color="auto" w:fill="FFFFFF"/>
          </w:rPr>
          <w:t>смеси</w:t>
        </w:r>
      </w:hyperlink>
      <w:r>
        <w:t xml:space="preserve"> </w:t>
      </w:r>
      <w:r>
        <w:rPr>
          <w:shd w:val="clear" w:color="auto" w:fill="FFFFFF"/>
        </w:rPr>
        <w:t>(АБС).</w:t>
      </w:r>
    </w:p>
    <w:p w:rsidR="00894D5B" w:rsidRDefault="00DC1760">
      <w:pPr>
        <w:widowControl w:val="0"/>
        <w:spacing w:line="355" w:lineRule="auto"/>
        <w:rPr>
          <w:shd w:val="clear" w:color="auto" w:fill="FFFFFF"/>
        </w:rPr>
      </w:pPr>
      <w:r>
        <w:rPr>
          <w:shd w:val="clear" w:color="auto" w:fill="FFFFFF"/>
        </w:rPr>
        <w:t xml:space="preserve">56. Производство полых стеклянных изделий (код 1119) включает </w:t>
      </w:r>
      <w:r>
        <w:br w:type="textWrapping" w:clear="all"/>
      </w:r>
      <w:r>
        <w:rPr>
          <w:shd w:val="clear" w:color="auto" w:fill="FFFFFF"/>
        </w:rPr>
        <w:t>в себя: производство бутылок и прочих емкостей из стекла или хрусталя; производство стаканов, фужеров, рюмок, бокалов, чашек и прочих бытовых изделий из стекла или хрусталя.</w:t>
      </w:r>
    </w:p>
    <w:p w:rsidR="00894D5B" w:rsidRDefault="00DC1760">
      <w:pPr>
        <w:widowControl w:val="0"/>
        <w:spacing w:line="355" w:lineRule="auto"/>
      </w:pPr>
      <w:r>
        <w:rPr>
          <w:bCs/>
        </w:rPr>
        <w:t xml:space="preserve">Производство металлургическое (код ОКВЭД 2 – «24») </w:t>
      </w:r>
    </w:p>
    <w:p w:rsidR="00894D5B" w:rsidRDefault="00DC1760">
      <w:pPr>
        <w:widowControl w:val="0"/>
        <w:spacing w:line="355" w:lineRule="auto"/>
      </w:pPr>
      <w:r>
        <w:t>57. По коду 1731 «Количество трубных станов» отражается количество введенных в действие трубопрокатных раскатных станов различных типов, конструкций и модификаций для изготовления труб.</w:t>
      </w:r>
    </w:p>
    <w:p w:rsidR="00894D5B" w:rsidRDefault="00DC1760">
      <w:pPr>
        <w:widowControl w:val="0"/>
        <w:spacing w:line="355" w:lineRule="auto"/>
      </w:pPr>
      <w:r>
        <w:t>По коду 1731 не о</w:t>
      </w:r>
      <w:r>
        <w:t>тражаются данные о трубопрокатном оборудовании, взятом в аренду или приобретенном для использования промежуточного (местного) производства.</w:t>
      </w:r>
    </w:p>
    <w:p w:rsidR="00894D5B" w:rsidRDefault="00DC1760">
      <w:pPr>
        <w:widowControl w:val="0"/>
        <w:spacing w:line="355" w:lineRule="auto"/>
      </w:pPr>
      <w:r>
        <w:t xml:space="preserve">По коду 1732 «Мощность трубных станов» отражается мощность </w:t>
      </w:r>
      <w:r>
        <w:rPr>
          <w:rFonts w:eastAsia="Calibri"/>
          <w:lang w:eastAsia="en-US"/>
        </w:rPr>
        <w:br w:type="textWrapping" w:clear="all"/>
      </w:r>
      <w:r>
        <w:t>по производству всех видов готовых трубопрокатных издели</w:t>
      </w:r>
      <w:r>
        <w:t xml:space="preserve">й независимо </w:t>
      </w:r>
      <w:r>
        <w:rPr>
          <w:rFonts w:eastAsia="Calibri"/>
          <w:lang w:eastAsia="en-US"/>
        </w:rPr>
        <w:br w:type="textWrapping" w:clear="all"/>
      </w:r>
      <w:r>
        <w:t>от их метода производства и применения как на вновь введенных трубных станах, так и увеличение мощности по производству труб за счет реконструкции существующих станов.</w:t>
      </w:r>
    </w:p>
    <w:p w:rsidR="00894D5B" w:rsidRDefault="00DC1760">
      <w:pPr>
        <w:spacing w:line="355" w:lineRule="auto"/>
      </w:pPr>
      <w:r>
        <w:t xml:space="preserve">Производство машин и оборудования, не включенных в другие группировки </w:t>
      </w:r>
      <w:r>
        <w:rPr>
          <w:bCs/>
        </w:rPr>
        <w:t>(код</w:t>
      </w:r>
      <w:r>
        <w:rPr>
          <w:bCs/>
        </w:rPr>
        <w:t xml:space="preserve"> ОКВЭД 2 – «28»)</w:t>
      </w:r>
    </w:p>
    <w:p w:rsidR="00894D5B" w:rsidRDefault="00DC1760">
      <w:pPr>
        <w:spacing w:line="355" w:lineRule="auto"/>
        <w:rPr>
          <w:strike/>
        </w:rPr>
      </w:pPr>
      <w:r>
        <w:t xml:space="preserve">58. По кодам 3011 «Турбины паровые» и 3012 «Турбины газовые» отражаются данные по вводу в действие объектов и мощностей </w:t>
      </w:r>
      <w:r>
        <w:br w:type="textWrapping" w:clear="all"/>
      </w:r>
      <w:r>
        <w:t>по производству паровых и газовых турбин соответственно.</w:t>
      </w:r>
    </w:p>
    <w:p w:rsidR="00894D5B" w:rsidRDefault="00DC1760">
      <w:pPr>
        <w:spacing w:line="355" w:lineRule="auto"/>
      </w:pPr>
      <w:r>
        <w:rPr>
          <w:bCs/>
        </w:rPr>
        <w:t>Производство мебели (код ОКВЭД 2 – «31»)</w:t>
      </w:r>
    </w:p>
    <w:p w:rsidR="00894D5B" w:rsidRDefault="00DC1760">
      <w:pPr>
        <w:widowControl w:val="0"/>
        <w:spacing w:line="355" w:lineRule="auto"/>
      </w:pPr>
      <w:r>
        <w:t>59. По коду 4142 отр</w:t>
      </w:r>
      <w:r>
        <w:t>ажаются данные по вводу в действие объектов (фабрик, специализированных цехов), мощностей на реконструируемых предприятиях по производству мебели. К производству мебели относится производство мебели различного назначения из широкого круга материалов (кроме</w:t>
      </w:r>
      <w:r>
        <w:t xml:space="preserve"> камня, бетона или керамики) и фурнитуры к ней. По коду 4142 отражается проектная мощность предприятия по производству мебельной продукции в стоимостном выражении («млн рублей в год» в ценах соответствующих лет) независимо от его загрузки.</w:t>
      </w:r>
    </w:p>
    <w:p w:rsidR="00894D5B" w:rsidRDefault="00DC1760">
      <w:pPr>
        <w:widowControl w:val="0"/>
        <w:spacing w:line="355" w:lineRule="auto"/>
      </w:pPr>
      <w:r>
        <w:lastRenderedPageBreak/>
        <w:t>Обеспечение элек</w:t>
      </w:r>
      <w:r>
        <w:t xml:space="preserve">трической энергией, газом и паром; кондиционирование воздуха </w:t>
      </w:r>
      <w:r>
        <w:rPr>
          <w:bCs/>
        </w:rPr>
        <w:t>(код ОКВЭД 2 – «35»)</w:t>
      </w:r>
    </w:p>
    <w:p w:rsidR="00894D5B" w:rsidRDefault="00DC1760">
      <w:pPr>
        <w:widowControl w:val="0"/>
        <w:spacing w:line="355" w:lineRule="auto"/>
      </w:pPr>
      <w:r>
        <w:t xml:space="preserve">60. По коду 1111 отражаются введенные в эксплуатацию </w:t>
      </w:r>
      <w:r>
        <w:br w:type="textWrapping" w:clear="all"/>
      </w:r>
      <w:r>
        <w:t>в установленном порядке тепловые электростанции (блоки электростанций) – электростанции, преобразующие химическую энерги</w:t>
      </w:r>
      <w:r>
        <w:t xml:space="preserve">ю топлива </w:t>
      </w:r>
      <w:r>
        <w:br w:type="textWrapping" w:clear="all"/>
      </w:r>
      <w:r>
        <w:t xml:space="preserve">в электрическую энергию или в электрическую энергию и тепло, например: ТЭС, ГРЭС, КЭС, ТЭЦ, ГТЭС, ПГУ, ПГЭ. В случае если в разрешении на ввод данных объектов в эксплуатацию указана тепловая мощность объекта Гигакал/час – необходимо отразить ее </w:t>
      </w:r>
      <w:r>
        <w:t>по коду 1164.</w:t>
      </w:r>
    </w:p>
    <w:p w:rsidR="00894D5B" w:rsidRDefault="00DC1760">
      <w:pPr>
        <w:spacing w:line="355" w:lineRule="auto"/>
      </w:pPr>
      <w:r>
        <w:t xml:space="preserve">61. По коду 1112 отражаются введенные в эксплуатацию </w:t>
      </w:r>
      <w:r>
        <w:rPr>
          <w:rFonts w:eastAsia="Calibri"/>
          <w:lang w:eastAsia="en-US"/>
        </w:rPr>
        <w:br w:type="textWrapping" w:clear="all"/>
      </w:r>
      <w:r>
        <w:t xml:space="preserve">в установленном порядке атомные электростанции (блоки электростанций) – сооружения и комплексы с ядерными реакторами, необходимыми системами, устройствами и оборудованием для производства </w:t>
      </w:r>
      <w:r>
        <w:t>энергии в заданных режимах и условиях применения, располагающиеся в пределах определенной проектом АЭС территории с необходимыми работниками (персоналом) и документацией.</w:t>
      </w:r>
    </w:p>
    <w:p w:rsidR="00894D5B" w:rsidRDefault="00DC1760">
      <w:pPr>
        <w:spacing w:line="355" w:lineRule="auto"/>
        <w:rPr>
          <w:b/>
        </w:rPr>
      </w:pPr>
      <w:r>
        <w:t xml:space="preserve">62. По коду 1115 отражаются введенные в эксплуатацию </w:t>
      </w:r>
      <w:r>
        <w:br w:type="textWrapping" w:clear="all"/>
      </w:r>
      <w:r>
        <w:t>в установленном порядке гидроэл</w:t>
      </w:r>
      <w:r>
        <w:t>ектростанции (ГЭС, ГАЭС).</w:t>
      </w:r>
    </w:p>
    <w:p w:rsidR="00894D5B" w:rsidRDefault="00DC1760">
      <w:pPr>
        <w:spacing w:line="355" w:lineRule="auto"/>
      </w:pPr>
      <w:r>
        <w:t>63. По коду 140 отражаются электростанции возобновляемых источников энергии (солнечные, ветровые, геотермальные и приливные).</w:t>
      </w:r>
    </w:p>
    <w:p w:rsidR="00894D5B" w:rsidRDefault="00DC1760">
      <w:pPr>
        <w:spacing w:line="355" w:lineRule="auto"/>
      </w:pPr>
      <w:r>
        <w:t>64</w:t>
      </w:r>
      <w:r>
        <w:t xml:space="preserve">. Вновь построенные газораспределительные станции (ГРС) отражаются по кодам мощностей: 1443 – в «штуках», 1444 – в «куб м/час», </w:t>
      </w:r>
      <w:r>
        <w:br w:type="textWrapping" w:clear="all"/>
      </w:r>
      <w:r>
        <w:t>и служат для понижения давления газа до уровня, необходимого по условиям его безопасного потребления, и обеспечивают также пода</w:t>
      </w:r>
      <w:r>
        <w:t xml:space="preserve">чу газа обусловленного количества с определенной степенью очистки и одоризации. На ГРС осуществляются следующие основные технологические процессы: очистка газа от твердых и жидких примесей; снижение давления (редуцирование); </w:t>
      </w:r>
      <w:hyperlink r:id="rId13" w:tooltip="Библиотека Neftegaz.RU" w:history="1">
        <w:r>
          <w:t>одоризация</w:t>
        </w:r>
      </w:hyperlink>
      <w:r>
        <w:t xml:space="preserve"> (</w:t>
      </w:r>
      <w:r>
        <w:rPr>
          <w:shd w:val="clear" w:color="auto" w:fill="FFFFFF"/>
        </w:rPr>
        <w:t>придание природному газу специфического запаха с помощью специальных компонентов для своевременного обнару</w:t>
      </w:r>
      <w:r>
        <w:rPr>
          <w:shd w:val="clear" w:color="auto" w:fill="FFFFFF"/>
        </w:rPr>
        <w:t>жения возможных утечек)</w:t>
      </w:r>
      <w:r>
        <w:t xml:space="preserve">; учет количества (расхода) газа перед подачей </w:t>
      </w:r>
      <w:r>
        <w:br w:type="textWrapping" w:clear="all"/>
      </w:r>
      <w:r>
        <w:t>его потребителю.</w:t>
      </w:r>
    </w:p>
    <w:p w:rsidR="00894D5B" w:rsidRDefault="00DC1760">
      <w:pPr>
        <w:spacing w:line="355" w:lineRule="auto"/>
      </w:pPr>
      <w:r>
        <w:t xml:space="preserve">Реконструкция    газораспределительных     станций    отражается   только </w:t>
      </w:r>
    </w:p>
    <w:p w:rsidR="00894D5B" w:rsidRDefault="00DC1760">
      <w:pPr>
        <w:spacing w:line="355" w:lineRule="auto"/>
        <w:ind w:firstLine="0"/>
      </w:pPr>
      <w:r>
        <w:lastRenderedPageBreak/>
        <w:t>по коду мощности 1444.</w:t>
      </w:r>
    </w:p>
    <w:p w:rsidR="00894D5B" w:rsidRDefault="00DC1760">
      <w:pPr>
        <w:spacing w:line="352" w:lineRule="auto"/>
      </w:pPr>
      <w:r>
        <w:t>65. По коду 545 показываются данные по вводу распределительных газопро</w:t>
      </w:r>
      <w:r>
        <w:t xml:space="preserve">водов. </w:t>
      </w:r>
    </w:p>
    <w:p w:rsidR="00894D5B" w:rsidRDefault="00DC1760">
      <w:pPr>
        <w:spacing w:line="352" w:lineRule="auto"/>
      </w:pPr>
      <w:r>
        <w:t xml:space="preserve">Распределительные газопроводы – газопроводы, обеспечивающие подачу газа от газораспределительных станций магистральных газопроводов </w:t>
      </w:r>
      <w:r>
        <w:br/>
        <w:t xml:space="preserve">или других источников газоснабжения до газопроводов-вводов </w:t>
      </w:r>
      <w:r>
        <w:br/>
        <w:t>или организаций – потребителей газа.</w:t>
      </w:r>
    </w:p>
    <w:p w:rsidR="00894D5B" w:rsidRDefault="00DC1760">
      <w:pPr>
        <w:spacing w:line="352" w:lineRule="auto"/>
      </w:pPr>
      <w:r>
        <w:t>Протяженность расп</w:t>
      </w:r>
      <w:r>
        <w:t xml:space="preserve">ределительного газопровода учитывается </w:t>
      </w:r>
      <w:r>
        <w:br/>
        <w:t xml:space="preserve">в одиночном исчислении. Если трубы уложены в две и более линии, </w:t>
      </w:r>
      <w:r>
        <w:br/>
        <w:t>то для определения протяженности газопровода необходимо суммировать протяженности всех линий.</w:t>
      </w:r>
    </w:p>
    <w:p w:rsidR="00894D5B" w:rsidRDefault="00DC1760">
      <w:pPr>
        <w:spacing w:line="352" w:lineRule="auto"/>
      </w:pPr>
      <w:r>
        <w:t>Из общих данных по вводу распределительных газопроводов в</w:t>
      </w:r>
      <w:r>
        <w:t xml:space="preserve">ыделяются данные по вводу распределительных газопроводов, построенных за счет средств федерального бюджета (код 546), бюджетов субъектов Российской Федерации и местных бюджетов (код 547), за счет средств населения (код 548). </w:t>
      </w:r>
    </w:p>
    <w:p w:rsidR="00894D5B" w:rsidRDefault="00DC1760">
      <w:pPr>
        <w:spacing w:line="352" w:lineRule="auto"/>
      </w:pPr>
      <w:r>
        <w:t>Данные по вводу распределитель</w:t>
      </w:r>
      <w:r>
        <w:t>ных газопроводов в сельской местности (сельских населенных пунктах) показываются по коду 556.</w:t>
      </w:r>
    </w:p>
    <w:p w:rsidR="00894D5B" w:rsidRDefault="00DC1760">
      <w:pPr>
        <w:spacing w:line="355" w:lineRule="auto"/>
      </w:pPr>
      <w:r>
        <w:t xml:space="preserve">66. По теплоснабжению по кодам 1549 и 550 отражаются данные </w:t>
      </w:r>
      <w:r>
        <w:br w:type="textWrapping" w:clear="all"/>
      </w:r>
      <w:r>
        <w:t>по вводу городских магистральных и распределительных тепловых сетей, тепловых пунктов, районных котел</w:t>
      </w:r>
      <w:r>
        <w:t xml:space="preserve">ьных и других объектов теплофикации. Районные котельные располагаются, как правило, в отдельно стоящих зданиях и предназначены для централизованного теплоснабжения промышленности </w:t>
      </w:r>
      <w:r>
        <w:br/>
        <w:t>и жилищно-коммунального хозяйства.</w:t>
      </w:r>
    </w:p>
    <w:p w:rsidR="00894D5B" w:rsidRDefault="00DC1760">
      <w:pPr>
        <w:spacing w:line="355" w:lineRule="auto"/>
      </w:pPr>
      <w:r>
        <w:t>По теплоснабжению не включаются данные:</w:t>
      </w:r>
    </w:p>
    <w:p w:rsidR="00894D5B" w:rsidRDefault="00DC1760">
      <w:pPr>
        <w:spacing w:line="355" w:lineRule="auto"/>
      </w:pPr>
      <w:r>
        <w:t>п</w:t>
      </w:r>
      <w:r>
        <w:t>о строительству теплоэлектроцентралей и магистральных тепловых сетей от них;</w:t>
      </w:r>
    </w:p>
    <w:p w:rsidR="00894D5B" w:rsidRDefault="00DC1760">
      <w:pPr>
        <w:spacing w:line="355" w:lineRule="auto"/>
      </w:pPr>
      <w:r>
        <w:t>по строительству тепловых вводов, внутриквартальных сетей теплофикации, внутриквартальных котельных, принцип работы которых заключается в обслуживании всех квартир в пределах одно</w:t>
      </w:r>
      <w:r>
        <w:t xml:space="preserve">го квартала </w:t>
      </w:r>
      <w:r>
        <w:br/>
        <w:t>или нескольких домов.</w:t>
      </w:r>
    </w:p>
    <w:p w:rsidR="00894D5B" w:rsidRDefault="00DC1760">
      <w:pPr>
        <w:spacing w:line="355" w:lineRule="auto"/>
      </w:pPr>
      <w:r>
        <w:t xml:space="preserve">Из кодов 1549 и 550  выделяются  данные по мощностям теплоснабжения, </w:t>
      </w:r>
    </w:p>
    <w:p w:rsidR="00894D5B" w:rsidRDefault="00DC1760">
      <w:pPr>
        <w:spacing w:line="355" w:lineRule="auto"/>
        <w:ind w:firstLine="0"/>
      </w:pPr>
      <w:r>
        <w:lastRenderedPageBreak/>
        <w:t>введенным в сельской местности, соответственно по кодам 138 и 139.</w:t>
      </w:r>
    </w:p>
    <w:p w:rsidR="00894D5B" w:rsidRDefault="00DC1760">
      <w:pPr>
        <w:spacing w:line="355" w:lineRule="auto"/>
      </w:pPr>
      <w:r>
        <w:rPr>
          <w:bCs/>
        </w:rPr>
        <w:t>Забор, очистка и распределение воды (код ОКВЭД 2 – «36»)</w:t>
      </w:r>
    </w:p>
    <w:p w:rsidR="00894D5B" w:rsidRDefault="00DC1760">
      <w:pPr>
        <w:spacing w:line="352" w:lineRule="auto"/>
      </w:pPr>
      <w:r>
        <w:t>67. По объектам водопроводо</w:t>
      </w:r>
      <w:r>
        <w:t>в показываются данные по вводу водоприемных сооружений, насосных станций, резервуаров, водоводов, городских сетей, очистных сооружений и других объектов водоснабжения.</w:t>
      </w:r>
    </w:p>
    <w:p w:rsidR="00894D5B" w:rsidRDefault="00DC1760">
      <w:pPr>
        <w:spacing w:line="352" w:lineRule="auto"/>
      </w:pPr>
      <w:r>
        <w:t>Данные по домовым вводам внутриквартальных сетей, вводу сооружений водопровода не отража</w:t>
      </w:r>
      <w:r>
        <w:t>ются.</w:t>
      </w:r>
    </w:p>
    <w:p w:rsidR="00894D5B" w:rsidRDefault="00DC1760">
      <w:pPr>
        <w:spacing w:line="352" w:lineRule="auto"/>
      </w:pPr>
      <w:r>
        <w:t>Ввод в действие водопровода показывают в двух единицах измерения:</w:t>
      </w:r>
    </w:p>
    <w:p w:rsidR="00894D5B" w:rsidRDefault="00DC1760">
      <w:pPr>
        <w:widowControl w:val="0"/>
        <w:spacing w:line="352" w:lineRule="auto"/>
      </w:pPr>
      <w:r>
        <w:t xml:space="preserve">по коду 531 – мощность водопровода в тыс. куб. м в сутки (исходя </w:t>
      </w:r>
      <w:r>
        <w:br w:type="textWrapping" w:clear="all"/>
      </w:r>
      <w:r>
        <w:t>из пропускной способности сооружений водопровода, лимитирующих подачу воды), из них в сельской местности – по коду 535</w:t>
      </w:r>
      <w:r>
        <w:t>;</w:t>
      </w:r>
    </w:p>
    <w:p w:rsidR="00894D5B" w:rsidRDefault="00DC1760">
      <w:pPr>
        <w:widowControl w:val="0"/>
        <w:spacing w:line="352" w:lineRule="auto"/>
      </w:pPr>
      <w:r>
        <w:rPr>
          <w:bCs/>
        </w:rPr>
        <w:t xml:space="preserve">по коду 532 </w:t>
      </w:r>
      <w:r>
        <w:rPr>
          <w:b/>
          <w:bCs/>
        </w:rPr>
        <w:t>–</w:t>
      </w:r>
      <w:r>
        <w:rPr>
          <w:bCs/>
        </w:rPr>
        <w:t xml:space="preserve"> протяженность водоводов и уличных сетей в километрах (общая протяженность водовода и сетей определяется в одиночном исчислении по длине всех труб, уложенных в одну нитку; если трубы уложены в несколько рядов, то протяженность определяется п</w:t>
      </w:r>
      <w:r>
        <w:rPr>
          <w:bCs/>
        </w:rPr>
        <w:t xml:space="preserve">о суммарной длине всех рядов), </w:t>
      </w:r>
      <w:r>
        <w:t>из них в сельской местности – по коду 536;</w:t>
      </w:r>
    </w:p>
    <w:p w:rsidR="00894D5B" w:rsidRDefault="00DC1760">
      <w:pPr>
        <w:widowControl w:val="0"/>
        <w:spacing w:line="352" w:lineRule="auto"/>
        <w:rPr>
          <w:bCs/>
        </w:rPr>
      </w:pPr>
      <w:r>
        <w:t xml:space="preserve">68. </w:t>
      </w:r>
      <w:r>
        <w:rPr>
          <w:bCs/>
        </w:rPr>
        <w:t xml:space="preserve">Не включаются в данные по </w:t>
      </w:r>
      <w:r>
        <w:t>кодам 545, 556, 546, 547, 548, 1549, 550, 138, 139, 531, 532, 535, 536 данные</w:t>
      </w:r>
      <w:r>
        <w:rPr>
          <w:bCs/>
        </w:rPr>
        <w:t xml:space="preserve"> о введенных сетях газо- и теплоснабжения, водопроводов, предназначенных дл</w:t>
      </w:r>
      <w:r>
        <w:rPr>
          <w:bCs/>
        </w:rPr>
        <w:t>я обслуживания производственных нужд организаций.</w:t>
      </w:r>
    </w:p>
    <w:p w:rsidR="00894D5B" w:rsidRDefault="00DC1760">
      <w:pPr>
        <w:spacing w:line="355" w:lineRule="auto"/>
        <w:rPr>
          <w:bCs/>
        </w:rPr>
      </w:pPr>
      <w:r>
        <w:t>П</w:t>
      </w:r>
      <w:r>
        <w:rPr>
          <w:bCs/>
        </w:rPr>
        <w:t xml:space="preserve">ротяженность введенных </w:t>
      </w:r>
      <w:r>
        <w:t>распределительных газопроводов</w:t>
      </w:r>
      <w:r>
        <w:rPr>
          <w:bCs/>
        </w:rPr>
        <w:t xml:space="preserve">, тепловых </w:t>
      </w:r>
      <w:r>
        <w:rPr>
          <w:bCs/>
        </w:rPr>
        <w:br/>
        <w:t>и водопроводных сетей, предназначенных полностью или преимущественно (более 50%) для обслуживания производственных нужд организаций</w:t>
      </w:r>
      <w:r>
        <w:rPr>
          <w:b/>
          <w:bCs/>
        </w:rPr>
        <w:t>,</w:t>
      </w:r>
      <w:r>
        <w:rPr>
          <w:bCs/>
        </w:rPr>
        <w:t xml:space="preserve"> отражае</w:t>
      </w:r>
      <w:r>
        <w:rPr>
          <w:bCs/>
        </w:rPr>
        <w:t>тся в «километрах» по кодам 7784, 7785, 7786</w:t>
      </w:r>
      <w:r>
        <w:rPr>
          <w:b/>
          <w:bCs/>
        </w:rPr>
        <w:t xml:space="preserve"> </w:t>
      </w:r>
      <w:r>
        <w:rPr>
          <w:bCs/>
        </w:rPr>
        <w:t>соответственно.</w:t>
      </w:r>
    </w:p>
    <w:p w:rsidR="00894D5B" w:rsidRDefault="00DC1760">
      <w:pPr>
        <w:spacing w:line="355" w:lineRule="auto"/>
        <w:rPr>
          <w:bCs/>
        </w:rPr>
      </w:pPr>
      <w:r>
        <w:t xml:space="preserve">Сбор и обработка сточных вод </w:t>
      </w:r>
      <w:r>
        <w:rPr>
          <w:bCs/>
        </w:rPr>
        <w:t>(код ОКВЭД 2 – «37»)</w:t>
      </w:r>
    </w:p>
    <w:p w:rsidR="00894D5B" w:rsidRDefault="00DC1760">
      <w:pPr>
        <w:spacing w:line="355" w:lineRule="auto"/>
      </w:pPr>
      <w:r>
        <w:t xml:space="preserve">69. По объектам канализации по коду 538 отражаются данные по вводу очистных сооружений, станций перекачки, из них в сельской местности – </w:t>
      </w:r>
      <w:r>
        <w:br w:type="textWrapping" w:clear="all"/>
      </w:r>
      <w:r>
        <w:t>по коду</w:t>
      </w:r>
      <w:r>
        <w:t xml:space="preserve"> 136; по коду 539 – уличных сетей и коллекторов и других объектов канализации, из них в сельской местности – по коду 137.</w:t>
      </w:r>
    </w:p>
    <w:p w:rsidR="00894D5B" w:rsidRDefault="00DC1760">
      <w:pPr>
        <w:spacing w:line="355" w:lineRule="auto"/>
      </w:pPr>
      <w:r>
        <w:t xml:space="preserve">По вводу объектов канализации не включаются данные по домовым выпускам и внутриквартальным сетям канализации. </w:t>
      </w:r>
    </w:p>
    <w:p w:rsidR="00894D5B" w:rsidRDefault="00DC1760">
      <w:pPr>
        <w:spacing w:line="355" w:lineRule="auto"/>
      </w:pPr>
      <w:r>
        <w:lastRenderedPageBreak/>
        <w:t>По коду 538 не отражают</w:t>
      </w:r>
      <w:r>
        <w:t>ся данные о вводе в эксплуатацию очистных сооружений для производственных нужд.</w:t>
      </w:r>
    </w:p>
    <w:p w:rsidR="00894D5B" w:rsidRDefault="00DC1760">
      <w:pPr>
        <w:spacing w:line="352" w:lineRule="auto"/>
        <w:rPr>
          <w:bCs/>
        </w:rPr>
      </w:pPr>
      <w:r>
        <w:rPr>
          <w:bCs/>
        </w:rPr>
        <w:t xml:space="preserve">Протяженность введенных сетей канализации в километрах, предназначенных полностью или преимущественно (более 50%) </w:t>
      </w:r>
      <w:r>
        <w:rPr>
          <w:bCs/>
        </w:rPr>
        <w:br/>
        <w:t xml:space="preserve">для обслуживания производственных </w:t>
      </w:r>
      <w:r>
        <w:rPr>
          <w:bCs/>
        </w:rPr>
        <w:t xml:space="preserve">нужд организаций, отражается </w:t>
      </w:r>
      <w:r>
        <w:rPr>
          <w:bCs/>
        </w:rPr>
        <w:br/>
        <w:t>по коду 135.</w:t>
      </w:r>
    </w:p>
    <w:p w:rsidR="00894D5B" w:rsidRDefault="00DC1760">
      <w:pPr>
        <w:spacing w:line="355" w:lineRule="auto"/>
      </w:pPr>
      <w:r>
        <w:t>Строительство инженерных сооружений (код ОКВЭД 2 – «42»)</w:t>
      </w:r>
    </w:p>
    <w:p w:rsidR="00894D5B" w:rsidRDefault="00DC1760">
      <w:pPr>
        <w:widowControl w:val="0"/>
        <w:spacing w:line="355" w:lineRule="auto"/>
        <w:rPr>
          <w:bCs/>
        </w:rPr>
      </w:pPr>
      <w:r>
        <w:t xml:space="preserve">70. По кодам 7751 и 7741 отражаются данные о колодцах, предназначенных для добычи воды из водоносных зернистых пластов </w:t>
      </w:r>
      <w:r>
        <w:br/>
        <w:t>или скальных пород. Различают два ви</w:t>
      </w:r>
      <w:r>
        <w:t xml:space="preserve">да колодцев: шахтные </w:t>
      </w:r>
      <w:r>
        <w:rPr>
          <w:bCs/>
        </w:rPr>
        <w:br w:type="textWrapping" w:clear="all"/>
      </w:r>
      <w:r>
        <w:t>и буровые.</w:t>
      </w:r>
    </w:p>
    <w:p w:rsidR="00894D5B" w:rsidRDefault="00DC1760">
      <w:pPr>
        <w:widowControl w:val="0"/>
        <w:shd w:val="clear" w:color="auto" w:fill="FFFFFF"/>
        <w:spacing w:line="355" w:lineRule="auto"/>
      </w:pPr>
      <w:r>
        <w:t>Шахтные колодцы отражаются по коду 7751, буровые – по коду 7741.</w:t>
      </w:r>
      <w:r>
        <w:br w:type="textWrapping" w:clear="all"/>
      </w:r>
      <w:r>
        <w:t>Из кода 7741 выделяются артезианские скважины с кодом 7752.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bCs/>
        </w:rPr>
      </w:pPr>
      <w:r>
        <w:rPr>
          <w:bCs/>
        </w:rPr>
        <w:t xml:space="preserve">Торговля оптовая и розничная автотранспортными средствами </w:t>
      </w:r>
      <w:r>
        <w:br w:type="textWrapping" w:clear="all"/>
      </w:r>
      <w:r>
        <w:rPr>
          <w:bCs/>
        </w:rPr>
        <w:t>и мотоциклами и их ремонт (код ОКВЭД 2 – «45»)</w:t>
      </w:r>
    </w:p>
    <w:p w:rsidR="00894D5B" w:rsidRDefault="00DC1760">
      <w:pPr>
        <w:widowControl w:val="0"/>
        <w:spacing w:line="355" w:lineRule="auto"/>
      </w:pPr>
      <w:r>
        <w:t>71. Автомойки – это капитальные строения или сооружения, предназначенные для мойки автомобилей, а также для оказания сопутствующих услуг: чистки салонов, полировки автомобилей, мойки двигателей и так далее. Вн</w:t>
      </w:r>
      <w:r>
        <w:t xml:space="preserve">овь построенные автомойки представляются двумя кодами: по коду 151 – </w:t>
      </w:r>
      <w:r>
        <w:br w:type="textWrapping" w:clear="all"/>
      </w:r>
      <w:r>
        <w:t>в «единицах», по коду 121 – в «моечных постах». Реконструкция автомоек отражается только по коду 121.</w:t>
      </w:r>
    </w:p>
    <w:p w:rsidR="00894D5B" w:rsidRDefault="00DC1760">
      <w:pPr>
        <w:widowControl w:val="0"/>
        <w:shd w:val="clear" w:color="auto" w:fill="FFFFFF"/>
        <w:spacing w:line="355" w:lineRule="auto"/>
        <w:rPr>
          <w:bCs/>
        </w:rPr>
      </w:pPr>
      <w:r>
        <w:rPr>
          <w:bCs/>
        </w:rPr>
        <w:t xml:space="preserve">Торговля розничная, кроме торговли автотранспортными средствами </w:t>
      </w:r>
      <w:r>
        <w:br w:type="textWrapping" w:clear="all"/>
      </w:r>
      <w:r>
        <w:rPr>
          <w:bCs/>
        </w:rPr>
        <w:t xml:space="preserve">и мотоциклами (код </w:t>
      </w:r>
      <w:r>
        <w:rPr>
          <w:bCs/>
        </w:rPr>
        <w:t>ОКВЭД 2 – «47»)</w:t>
      </w:r>
    </w:p>
    <w:p w:rsidR="00894D5B" w:rsidRDefault="00DC1760">
      <w:pPr>
        <w:widowControl w:val="0"/>
        <w:shd w:val="clear" w:color="auto" w:fill="FFFFFF"/>
        <w:spacing w:line="355" w:lineRule="auto"/>
      </w:pPr>
      <w:r>
        <w:t xml:space="preserve">72. Торговые предприятия по коду 8132 учитываются по торговой площади магазинов розничной сети, к которой относится площадь торгового зала и помещений, предназначенных для обслуживания населения, </w:t>
      </w:r>
      <w:r>
        <w:rPr>
          <w:rFonts w:eastAsia="Calibri"/>
          <w:lang w:eastAsia="en-US"/>
        </w:rPr>
        <w:br w:type="textWrapping" w:clear="all"/>
      </w:r>
      <w:r>
        <w:t>то есть площади для размещения служб по доп</w:t>
      </w:r>
      <w:r>
        <w:t xml:space="preserve">олнительному обслуживанию покупателей (помещений отдела заказов, кафетерия, демонстрационного зала, бюро обслуживания, камеры хранения, упаковочной, раскроя тканей, мелкого ремонта обуви, сумок, бытовых приборов, оформления продажи товаров </w:t>
      </w:r>
      <w:r>
        <w:br w:type="textWrapping" w:clear="all"/>
      </w:r>
      <w:r>
        <w:t>в кредит и друг</w:t>
      </w:r>
      <w:r>
        <w:t>ие службы по дополнительному обслуживанию покупателей).</w:t>
      </w:r>
    </w:p>
    <w:p w:rsidR="00894D5B" w:rsidRDefault="00DC1760">
      <w:pPr>
        <w:spacing w:line="336" w:lineRule="auto"/>
      </w:pPr>
      <w:r>
        <w:lastRenderedPageBreak/>
        <w:t>Под площадью торгового зала понимается площадь, на которой производится продажа товаров.</w:t>
      </w:r>
    </w:p>
    <w:p w:rsidR="00894D5B" w:rsidRDefault="00DC1760">
      <w:pPr>
        <w:spacing w:line="336" w:lineRule="auto"/>
      </w:pPr>
      <w:r>
        <w:t xml:space="preserve">При этом в площадь торгового зала включается и площадь, занятая прилавками, стеллажами и другим оборудованием, </w:t>
      </w:r>
      <w:r>
        <w:t>установленным в торговом зале.</w:t>
      </w:r>
    </w:p>
    <w:p w:rsidR="00894D5B" w:rsidRDefault="00DC1760">
      <w:pPr>
        <w:widowControl w:val="0"/>
        <w:spacing w:line="336" w:lineRule="auto"/>
      </w:pPr>
      <w:r>
        <w:t xml:space="preserve">Не включаются в торговую площадь магазинов: помещения для приемки </w:t>
      </w:r>
      <w:r>
        <w:br w:type="textWrapping" w:clear="all"/>
      </w:r>
      <w:r>
        <w:t xml:space="preserve">и хранения товаров и помещения для подготовки товаров к продаже (приемочные, разгрузочные, кладовые, фасовочные и другие), подсобные помещения (помещения для </w:t>
      </w:r>
      <w:r>
        <w:t xml:space="preserve">хранения тары, упаковочных материалов, инвентаря, белья, пункт приема посуды, моечные, камеры для мусора и другие), административные и бытовые помещения (конторские помещения, кабинет директора, комнаты персонала, здравпункт, гардеробные, душевые, главная </w:t>
      </w:r>
      <w:r>
        <w:t>касса и другие), технические помещения (вентиляционные камеры, машинное отделение лифтов и холодильных установок, телефонный коммутатор, котельная и другие).</w:t>
      </w:r>
    </w:p>
    <w:p w:rsidR="00894D5B" w:rsidRDefault="00DC1760">
      <w:pPr>
        <w:widowControl w:val="0"/>
        <w:spacing w:line="336" w:lineRule="auto"/>
      </w:pPr>
      <w:r>
        <w:t xml:space="preserve">Объекты мелкорозничной торговли (палатки, ларьки, киоски, лавки), </w:t>
      </w:r>
      <w:r>
        <w:br w:type="textWrapping" w:clear="all"/>
      </w:r>
      <w:r>
        <w:t>а также временные (сезонные) пр</w:t>
      </w:r>
      <w:r>
        <w:t xml:space="preserve">едприятия торговли, рынки и павильоны </w:t>
      </w:r>
      <w:r>
        <w:br w:type="textWrapping" w:clear="all"/>
      </w:r>
      <w:r>
        <w:t>по этому коду не учитываются.</w:t>
      </w:r>
    </w:p>
    <w:p w:rsidR="00894D5B" w:rsidRDefault="00DC1760">
      <w:pPr>
        <w:widowControl w:val="0"/>
        <w:spacing w:line="336" w:lineRule="auto"/>
        <w:ind w:firstLine="708"/>
      </w:pPr>
      <w:r>
        <w:t>73. Автомобильные газонаполнительные компрессорные станции (АГНКС) предназначены для заправки всех видов транспорта, в том числе автомобилей, автобусов и сельскохозяйственной техники, дви</w:t>
      </w:r>
      <w:r>
        <w:t>гатели которых рассчитаны на работу на метане, сжатом природном газе. Ввод в эксплуатацию АГНКС отражается по коду 1470.</w:t>
      </w:r>
    </w:p>
    <w:p w:rsidR="00894D5B" w:rsidRDefault="00DC1760">
      <w:pPr>
        <w:widowControl w:val="0"/>
        <w:spacing w:line="336" w:lineRule="auto"/>
      </w:pPr>
      <w:r>
        <w:t>По коду 1471 показываются автомобильные газозаправочные станции сжиженного нефтяного газа (АГЗС). АГЗС осуществляют заправку автомобиле</w:t>
      </w:r>
      <w:r>
        <w:t>й и других транспортных средств, двигатели которых конвертированы или изначально рассчитаны на работу на сжиженном нефтяном газе (пропан и бутан) и имеют соответствующую систему.</w:t>
      </w:r>
    </w:p>
    <w:p w:rsidR="00894D5B" w:rsidRDefault="00DC1760">
      <w:pPr>
        <w:widowControl w:val="0"/>
        <w:spacing w:line="355" w:lineRule="auto"/>
        <w:rPr>
          <w:bCs/>
        </w:rPr>
      </w:pPr>
      <w:r>
        <w:rPr>
          <w:bCs/>
        </w:rPr>
        <w:t xml:space="preserve">Деятельность сухопутного и трубопроводного транспорта </w:t>
      </w:r>
      <w:r>
        <w:br w:type="textWrapping" w:clear="all"/>
      </w:r>
      <w:r>
        <w:rPr>
          <w:bCs/>
        </w:rPr>
        <w:t>(код ОКВЭД 2 – «49»)</w:t>
      </w:r>
    </w:p>
    <w:p w:rsidR="00894D5B" w:rsidRDefault="00DC1760">
      <w:pPr>
        <w:widowControl w:val="0"/>
        <w:spacing w:line="355" w:lineRule="auto"/>
      </w:pPr>
      <w:r>
        <w:t>7</w:t>
      </w:r>
      <w:r>
        <w:t>4. По коду 6211</w:t>
      </w:r>
      <w:r>
        <w:rPr>
          <w:b/>
        </w:rPr>
        <w:t xml:space="preserve"> </w:t>
      </w:r>
      <w:r>
        <w:t>«Новые железнодорожные линии»</w:t>
      </w:r>
      <w:r>
        <w:rPr>
          <w:b/>
        </w:rPr>
        <w:t xml:space="preserve"> </w:t>
      </w:r>
      <w:r>
        <w:t xml:space="preserve">отражаются данные по строительству только новых железнодорожных линий общего назначения, имеющие значение магистральных. Если новые железнодорожные линии </w:t>
      </w:r>
      <w:r>
        <w:lastRenderedPageBreak/>
        <w:t>общего назначения, имеющие значение магистральных, постр</w:t>
      </w:r>
      <w:r>
        <w:t xml:space="preserve">оены в рамках реконструкции  (модернизации) железнодорожных магистралей (железнодорожных станций), то такие железнодорожные линии отражаются </w:t>
      </w:r>
      <w:r>
        <w:br/>
        <w:t>как строительство с кодом «0».</w:t>
      </w:r>
    </w:p>
    <w:p w:rsidR="00894D5B" w:rsidRDefault="00DC1760">
      <w:pPr>
        <w:widowControl w:val="0"/>
        <w:spacing w:line="355" w:lineRule="auto"/>
      </w:pPr>
      <w:r>
        <w:t>75. По коду 6222 «Железнодорожные пути к производственным объектам» отражаются данн</w:t>
      </w:r>
      <w:r>
        <w:t xml:space="preserve">ые по вводу в действие «подъездных путей» </w:t>
      </w:r>
      <w:r>
        <w:rPr>
          <w:bCs/>
        </w:rPr>
        <w:br w:type="textWrapping" w:clear="all"/>
      </w:r>
      <w:r>
        <w:t xml:space="preserve">или железнодорожных путей необщего пользования, предназначенных </w:t>
      </w:r>
      <w:r>
        <w:rPr>
          <w:rFonts w:eastAsia="Calibri"/>
          <w:lang w:eastAsia="en-US"/>
        </w:rPr>
        <w:br w:type="textWrapping" w:clear="all"/>
      </w:r>
      <w:r>
        <w:t>для обслуживания отдельных предприятий и организаций (соединяющие предприятие с магистральной железнодорожной линией, соединяющие отдельные цеха вну</w:t>
      </w:r>
      <w:r>
        <w:t xml:space="preserve">три предприятий). По коду 6211 «подъездные пути» </w:t>
      </w:r>
      <w:r>
        <w:rPr>
          <w:rFonts w:eastAsia="Calibri"/>
          <w:lang w:eastAsia="en-US"/>
        </w:rPr>
        <w:br w:type="textWrapping" w:clear="all"/>
      </w:r>
      <w:r>
        <w:t>не отражаются.</w:t>
      </w:r>
    </w:p>
    <w:p w:rsidR="00894D5B" w:rsidRDefault="00DC1760">
      <w:pPr>
        <w:spacing w:line="355" w:lineRule="auto"/>
      </w:pPr>
      <w:r>
        <w:t xml:space="preserve">76. По кодам 6511, 6517, 6520, 6540 отражаются данные по вводу </w:t>
      </w:r>
      <w:r>
        <w:rPr>
          <w:rFonts w:eastAsia="Calibri"/>
          <w:lang w:eastAsia="en-US"/>
        </w:rPr>
        <w:br w:type="textWrapping" w:clear="all"/>
      </w:r>
      <w:r>
        <w:t xml:space="preserve">в действие </w:t>
      </w:r>
      <w:r>
        <w:rPr>
          <w:bCs/>
        </w:rPr>
        <w:t>автомобильных дорог</w:t>
      </w:r>
      <w:r>
        <w:t xml:space="preserve"> по классификации в зависимости </w:t>
      </w:r>
      <w:r>
        <w:rPr>
          <w:rFonts w:eastAsia="Calibri"/>
          <w:lang w:eastAsia="en-US"/>
        </w:rPr>
        <w:br w:type="textWrapping" w:clear="all"/>
      </w:r>
      <w:r>
        <w:t>от их значения в соответствии со статьей 5 Федерального закона о</w:t>
      </w:r>
      <w:r>
        <w:t xml:space="preserve">т 8 ноября 2007 г. № 257-ФЗ «Об автомобильных дорогах и о дорожной деятельности </w:t>
      </w:r>
      <w:r>
        <w:br w:type="textWrapping" w:clear="all"/>
      </w:r>
      <w:r>
        <w:t>в Российской Федерации и о внесении изменений в отдельные законодательные акты Российской Федерации».</w:t>
      </w:r>
      <w:r>
        <w:rPr>
          <w:vertAlign w:val="superscript"/>
        </w:rPr>
        <w:t xml:space="preserve"> </w:t>
      </w:r>
    </w:p>
    <w:p w:rsidR="00894D5B" w:rsidRDefault="00DC1760">
      <w:pPr>
        <w:spacing w:line="355" w:lineRule="auto"/>
        <w:ind w:firstLine="708"/>
      </w:pPr>
      <w:r>
        <w:t>Критерии отнесения автомобильных дорог общего пользования</w:t>
      </w:r>
      <w:r>
        <w:br w:type="textWrapping" w:clear="all"/>
      </w:r>
      <w:r>
        <w:t>к автомобильны</w:t>
      </w:r>
      <w:r>
        <w:t xml:space="preserve">м дорогам общего пользования </w:t>
      </w:r>
      <w:r>
        <w:rPr>
          <w:bCs/>
        </w:rPr>
        <w:t xml:space="preserve">регионального </w:t>
      </w:r>
      <w:r>
        <w:rPr>
          <w:bCs/>
        </w:rPr>
        <w:br w:type="textWrapping" w:clear="all"/>
      </w:r>
      <w:r>
        <w:rPr>
          <w:bCs/>
        </w:rPr>
        <w:t>или межмуниципального значения и их перечень утверждаются высшим исполнительным органом государственной власти субъекта Российской Федерации.</w:t>
      </w:r>
    </w:p>
    <w:p w:rsidR="00894D5B" w:rsidRDefault="00DC1760">
      <w:pPr>
        <w:widowControl w:val="0"/>
        <w:spacing w:line="355" w:lineRule="auto"/>
      </w:pPr>
      <w:r>
        <w:t>Автомобильными дорогами общего пользования местного значения городског</w:t>
      </w:r>
      <w:r>
        <w:t>о (сельского) поселения, муниципального района, городского округа являются автомобильные дороги общего пользования в границах населенных пунктов городских (сельских) поселений, муниципальных районов, городских округов. Перечень автомобильных дорог общего п</w:t>
      </w:r>
      <w:r>
        <w:t>ользования местного значения может утверждаться органами местного самоуправления.</w:t>
      </w:r>
    </w:p>
    <w:p w:rsidR="00894D5B" w:rsidRDefault="00DC1760">
      <w:pPr>
        <w:widowControl w:val="0"/>
        <w:spacing w:line="355" w:lineRule="auto"/>
      </w:pPr>
      <w:r>
        <w:t>Автомобильные дороги, на которых производились ремонтные работы, реконструкция, при выполнении которой не изменились параметры автомобильной дороги, ее участков, ведущие за с</w:t>
      </w:r>
      <w:r>
        <w:t xml:space="preserve">обой изменение класса </w:t>
      </w:r>
      <w:r>
        <w:rPr>
          <w:rFonts w:eastAsia="Calibri"/>
          <w:lang w:eastAsia="en-US"/>
        </w:rPr>
        <w:br w:type="textWrapping" w:clear="all"/>
      </w:r>
      <w:r>
        <w:lastRenderedPageBreak/>
        <w:t xml:space="preserve">и (или) категории автомобильной дороги, а также съезды, подъезды </w:t>
      </w:r>
      <w:r>
        <w:rPr>
          <w:rFonts w:eastAsia="Calibri"/>
          <w:lang w:eastAsia="en-US"/>
        </w:rPr>
        <w:br w:type="textWrapping" w:clear="all"/>
      </w:r>
      <w:r>
        <w:t>к гражданским, производственным объектам, которые не относятся к категории автомобильных дорог, в форме не отражаются.</w:t>
      </w:r>
    </w:p>
    <w:p w:rsidR="00894D5B" w:rsidRDefault="00DC1760">
      <w:pPr>
        <w:widowControl w:val="0"/>
        <w:spacing w:line="355" w:lineRule="auto"/>
      </w:pPr>
      <w:r>
        <w:t>По коду 6511 отражаются данные по вводу автомоби</w:t>
      </w:r>
      <w:r>
        <w:t xml:space="preserve">льных дорог </w:t>
      </w:r>
      <w:r>
        <w:br/>
        <w:t xml:space="preserve">с твердым покрытием </w:t>
      </w:r>
      <w:r>
        <w:rPr>
          <w:bCs/>
        </w:rPr>
        <w:t>необщего пользования</w:t>
      </w:r>
      <w:r>
        <w:t xml:space="preserve">, находящихся в собственности, </w:t>
      </w:r>
      <w:r>
        <w:br/>
        <w:t>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</w:t>
      </w:r>
      <w:r>
        <w:t xml:space="preserve">ческих или юридических лиц </w:t>
      </w:r>
      <w:r>
        <w:br w:type="textWrapping" w:clear="all"/>
      </w:r>
      <w:r>
        <w:t>и используемых ими исключительно для обеспечения собственных нужд либо для государственных или муниципальных нужд.</w:t>
      </w:r>
    </w:p>
    <w:p w:rsidR="00894D5B" w:rsidRDefault="00DC1760">
      <w:pPr>
        <w:widowControl w:val="0"/>
        <w:spacing w:line="355" w:lineRule="auto"/>
      </w:pPr>
      <w:r>
        <w:t>Из кода 6511 по коду 7781 выделяются данные по</w:t>
      </w:r>
      <w:r>
        <w:rPr>
          <w:b/>
        </w:rPr>
        <w:t xml:space="preserve"> </w:t>
      </w:r>
      <w:r>
        <w:t>автомобильным дорогам с твердым покрытием в сельском хозяйстве. По этому коду показывается ввод в действие автомобильных дорог с твердым покрытием, соединяющих центральные усадьбы с их отделениями и бригадами, животноводческими комплексами и фермами, отдел</w:t>
      </w:r>
      <w:r>
        <w:t xml:space="preserve">ения и бригады между собой и с дорогами общего пользования, а также объединяющих эти дороги </w:t>
      </w:r>
      <w:r>
        <w:br w:type="textWrapping" w:clear="all"/>
      </w:r>
      <w:r>
        <w:t>в общую систему; дорог, соединяющих отделения и бригады с полевыми станами, основными массивами полей и сельскохозяйственных угодий, пунктами заготовки, хранения и</w:t>
      </w:r>
      <w:r>
        <w:t xml:space="preserve"> переработки продукции, мастерскими и тому подобными, а также соединяющих вышеуказанные объекты между собой </w:t>
      </w:r>
      <w:r>
        <w:br w:type="textWrapping" w:clear="all"/>
      </w:r>
      <w:r>
        <w:t>и с дорогами общего пользования. Не показываются по этому коду внутриплощадочные дороги (дороги, располагаемые в пределах животноводческих комплекс</w:t>
      </w:r>
      <w:r>
        <w:t xml:space="preserve">ов, ферм, птицефабрик, тепличных комбинатов </w:t>
      </w:r>
      <w:r>
        <w:br w:type="textWrapping" w:clear="all"/>
      </w:r>
      <w:r>
        <w:t>и других объектов).</w:t>
      </w:r>
    </w:p>
    <w:p w:rsidR="00894D5B" w:rsidRDefault="00DC1760">
      <w:pPr>
        <w:widowControl w:val="0"/>
        <w:spacing w:line="355" w:lineRule="auto"/>
      </w:pPr>
      <w:r>
        <w:t xml:space="preserve">Подъезды к производственным объектам в сельском хозяйстве отражаются по кодам 6511 и 7781 соответственно только в том случае, если </w:t>
      </w:r>
      <w:r>
        <w:rPr>
          <w:rFonts w:eastAsia="Calibri"/>
          <w:lang w:eastAsia="en-US"/>
        </w:rPr>
        <w:br w:type="textWrapping" w:clear="all"/>
      </w:r>
      <w:r>
        <w:t>они являются автомобильными дорогами с твердым покрытием, с</w:t>
      </w:r>
      <w:r>
        <w:t>оединяющими животноводческие комплексы с дорогами общего пользования, а также объединяющими эти дороги в общую систему.</w:t>
      </w:r>
    </w:p>
    <w:p w:rsidR="00894D5B" w:rsidRDefault="00DC1760">
      <w:pPr>
        <w:widowControl w:val="0"/>
        <w:spacing w:line="355" w:lineRule="auto"/>
      </w:pPr>
      <w:r>
        <w:t>По кодам 6517, 6520, 6540, 6513–6516 отражаются данные о вводе автомобильных дорог общего пользования.</w:t>
      </w:r>
    </w:p>
    <w:p w:rsidR="00894D5B" w:rsidRDefault="00DC1760">
      <w:pPr>
        <w:spacing w:line="355" w:lineRule="auto"/>
      </w:pPr>
      <w:r>
        <w:lastRenderedPageBreak/>
        <w:t>По коду 6517 отражаются автомобил</w:t>
      </w:r>
      <w:r>
        <w:t>ьные дороги общего пользования, относящиеся к собственности субъектов Российской Федерации (</w:t>
      </w:r>
      <w:r>
        <w:rPr>
          <w:bCs/>
        </w:rPr>
        <w:t>автомобильные дороги регионального или межмуниципального значения</w:t>
      </w:r>
      <w:r>
        <w:t xml:space="preserve">, </w:t>
      </w:r>
      <w:r>
        <w:br w:type="textWrapping" w:clear="all"/>
      </w:r>
      <w:r>
        <w:t>за исключением автомобильных дорог федерального значения).</w:t>
      </w:r>
    </w:p>
    <w:p w:rsidR="00894D5B" w:rsidRDefault="00DC1760">
      <w:pPr>
        <w:spacing w:line="355" w:lineRule="auto"/>
      </w:pPr>
      <w:r>
        <w:t>По коду 6520 отражаются дороги общего</w:t>
      </w:r>
      <w:r>
        <w:t xml:space="preserve"> пользования, являющиеся федеральной собственностью, – федеральные дороги.</w:t>
      </w:r>
    </w:p>
    <w:p w:rsidR="00894D5B" w:rsidRDefault="00DC1760">
      <w:pPr>
        <w:spacing w:line="355" w:lineRule="auto"/>
      </w:pPr>
      <w:r>
        <w:t>К ним относятся дороги:</w:t>
      </w:r>
    </w:p>
    <w:p w:rsidR="00894D5B" w:rsidRDefault="00DC1760">
      <w:pPr>
        <w:spacing w:line="355" w:lineRule="auto"/>
      </w:pPr>
      <w:r>
        <w:t>соединяющие столицу Российской Федерации со столицами сопредельных государств, административными центрами субъектов Российской Федерации;</w:t>
      </w:r>
    </w:p>
    <w:p w:rsidR="00894D5B" w:rsidRDefault="00DC1760">
      <w:pPr>
        <w:spacing w:line="355" w:lineRule="auto"/>
      </w:pPr>
      <w:r>
        <w:t>включенные в перече</w:t>
      </w:r>
      <w:r>
        <w:t xml:space="preserve">нь международных автомобильных дорог </w:t>
      </w:r>
      <w:r>
        <w:br w:type="textWrapping" w:clear="all"/>
      </w:r>
      <w:r>
        <w:t>в соответствии с международными соглашениями Российской Федерации;</w:t>
      </w:r>
    </w:p>
    <w:p w:rsidR="00894D5B" w:rsidRDefault="00DC1760">
      <w:pPr>
        <w:spacing w:line="355" w:lineRule="auto"/>
      </w:pPr>
      <w:r>
        <w:t>соединяющие между собой административные центры субъектов Российской Федерации;</w:t>
      </w:r>
    </w:p>
    <w:p w:rsidR="00894D5B" w:rsidRDefault="00DC1760">
      <w:pPr>
        <w:spacing w:line="355" w:lineRule="auto"/>
      </w:pPr>
      <w:r>
        <w:t>являющиеся подъездами от автомобильных дорог общего пользования федерал</w:t>
      </w:r>
      <w:r>
        <w:t xml:space="preserve">ьного значения к крупнейшим транспортным узлам, имеющим международное значение (морским и речным портам, аэропортам </w:t>
      </w:r>
      <w:r>
        <w:br w:type="textWrapping" w:clear="all"/>
      </w:r>
      <w:r>
        <w:t>и железнодорожным узлам), а также к специальным объектам федерального значения; являющиеся подъездами от административных центров субъектов</w:t>
      </w:r>
      <w:r>
        <w:t xml:space="preserve"> Российской Федерации, не имеющих связи по автомобильным дорогам общего пользования с г. Москвой, к ближайшим морским и речным портам, аэропортам </w:t>
      </w:r>
      <w:r>
        <w:br w:type="textWrapping" w:clear="all"/>
      </w:r>
      <w:r>
        <w:t>и железнодорожным станциям.</w:t>
      </w:r>
    </w:p>
    <w:p w:rsidR="00894D5B" w:rsidRDefault="00DC1760">
      <w:pPr>
        <w:widowControl w:val="0"/>
        <w:spacing w:line="355" w:lineRule="auto"/>
      </w:pPr>
      <w:r>
        <w:t xml:space="preserve">По коду 6540 отражаются автомобильные дороги общего пользования </w:t>
      </w:r>
      <w:r>
        <w:rPr>
          <w:bCs/>
        </w:rPr>
        <w:t>местного значения</w:t>
      </w:r>
      <w:r>
        <w:rPr>
          <w:bCs/>
        </w:rPr>
        <w:t>,</w:t>
      </w:r>
      <w:r>
        <w:t xml:space="preserve"> предназначенные для решения вопросов местного значения </w:t>
      </w:r>
      <w:r>
        <w:br w:type="textWrapping" w:clear="all"/>
      </w:r>
      <w:r>
        <w:t>или вопросов местного значения межмуниципального характера, включая дороги:</w:t>
      </w:r>
    </w:p>
    <w:p w:rsidR="00894D5B" w:rsidRDefault="00DC1760">
      <w:pPr>
        <w:widowControl w:val="0"/>
        <w:spacing w:line="355" w:lineRule="auto"/>
      </w:pPr>
      <w:r>
        <w:t>городских (сельских) поселений (автомобильные дороги, расположенные в границах населенных пунктов поселений);</w:t>
      </w:r>
    </w:p>
    <w:p w:rsidR="00894D5B" w:rsidRDefault="00DC1760">
      <w:pPr>
        <w:widowControl w:val="0"/>
        <w:spacing w:line="355" w:lineRule="auto"/>
      </w:pPr>
      <w:r>
        <w:t>муниципальны</w:t>
      </w:r>
      <w:r>
        <w:t>х районов (автомобильные дороги, расположенные между населенными пунктами, а также вне границ населенных пунктов в границах муниципальных районов);</w:t>
      </w:r>
    </w:p>
    <w:p w:rsidR="00894D5B" w:rsidRDefault="00DC1760">
      <w:pPr>
        <w:tabs>
          <w:tab w:val="left" w:pos="709"/>
        </w:tabs>
        <w:spacing w:line="341" w:lineRule="auto"/>
      </w:pPr>
      <w:r>
        <w:lastRenderedPageBreak/>
        <w:t>городских округов (автомобильные дороги, расположенные в границах населенных пунктов, а также между населенн</w:t>
      </w:r>
      <w:r>
        <w:t>ыми пунктами);</w:t>
      </w:r>
    </w:p>
    <w:p w:rsidR="00894D5B" w:rsidRDefault="00DC1760">
      <w:pPr>
        <w:spacing w:line="341" w:lineRule="auto"/>
      </w:pPr>
      <w:r>
        <w:t>относящиеся к частной и иным формам собственности.</w:t>
      </w:r>
    </w:p>
    <w:p w:rsidR="00894D5B" w:rsidRDefault="00DC1760">
      <w:pPr>
        <w:spacing w:line="341" w:lineRule="auto"/>
      </w:pPr>
      <w:r>
        <w:t xml:space="preserve">К частным автомобильным дорогам общего пользования относятся автомобильные дороги, находящиеся в собственности физических </w:t>
      </w:r>
      <w:r>
        <w:br/>
        <w:t>или юридических лиц, не оборудованные устройствами, ограничивающими</w:t>
      </w:r>
      <w:r>
        <w:t xml:space="preserve">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 По этому коду не отражаются данные по вводу в действие дорог, относящихся к улично-дорожной сети (улиц</w:t>
      </w:r>
      <w:r>
        <w:t xml:space="preserve">ы, проезды, переулки) </w:t>
      </w:r>
      <w:r>
        <w:br w:type="textWrapping" w:clear="all"/>
      </w:r>
      <w:r>
        <w:t xml:space="preserve">и находящихся на балансе организаций жилищно-коммунального хозяйства </w:t>
      </w:r>
      <w:r>
        <w:br w:type="textWrapping" w:clear="all"/>
      </w:r>
      <w:r>
        <w:t>и муниципальных образований.</w:t>
      </w:r>
      <w:r>
        <w:rPr>
          <w:vertAlign w:val="superscript"/>
        </w:rPr>
        <w:t xml:space="preserve"> </w:t>
      </w:r>
    </w:p>
    <w:p w:rsidR="00894D5B" w:rsidRDefault="00DC1760">
      <w:pPr>
        <w:spacing w:line="341" w:lineRule="auto"/>
      </w:pPr>
      <w:r>
        <w:t>Из данных по кодам 6520, 6517 и 6540 выделяются данные о вводе автомобильных дорог общего пользования в зависимости от вида покрытия:</w:t>
      </w:r>
      <w:r>
        <w:t xml:space="preserve"> цементобетонные (код 6513), асфальтобетонные (код 6514), щебеночные </w:t>
      </w:r>
      <w:r>
        <w:br w:type="textWrapping" w:clear="all"/>
      </w:r>
      <w:r>
        <w:t xml:space="preserve">и гравийные (код 6515), которые в сумме составляют автомобильные дороги </w:t>
      </w:r>
      <w:r>
        <w:br w:type="textWrapping" w:clear="all"/>
      </w:r>
      <w:r>
        <w:t>с твердым покрытием общего назначения.</w:t>
      </w:r>
    </w:p>
    <w:p w:rsidR="00894D5B" w:rsidRDefault="00DC1760">
      <w:pPr>
        <w:spacing w:line="341" w:lineRule="auto"/>
        <w:ind w:firstLine="708"/>
      </w:pPr>
      <w:r>
        <w:t>По коду 6516 отражаются данные по строительству автомобильных дорог, обраб</w:t>
      </w:r>
      <w:r>
        <w:t>отанных вяжущими материалами.</w:t>
      </w:r>
    </w:p>
    <w:p w:rsidR="00894D5B" w:rsidRDefault="00DC1760">
      <w:pPr>
        <w:spacing w:line="341" w:lineRule="auto"/>
        <w:ind w:firstLine="708"/>
      </w:pPr>
      <w:r>
        <w:t>77. Надземный (подземный) пешеходный переход, выполненный в виде инженерного сооружения, расположенного над (под) проезжей частью либо железнодорожными путями отражается в «погонных метрах» по коду 130.</w:t>
      </w:r>
    </w:p>
    <w:p w:rsidR="00894D5B" w:rsidRDefault="00DC1760">
      <w:pPr>
        <w:spacing w:line="341" w:lineRule="auto"/>
      </w:pPr>
      <w:r>
        <w:rPr>
          <w:bCs/>
        </w:rPr>
        <w:t>Деятельность воздушного</w:t>
      </w:r>
      <w:r>
        <w:rPr>
          <w:bCs/>
        </w:rPr>
        <w:t xml:space="preserve"> и космического транспорта </w:t>
      </w:r>
      <w:r>
        <w:br w:type="textWrapping" w:clear="all"/>
      </w:r>
      <w:r>
        <w:rPr>
          <w:bCs/>
        </w:rPr>
        <w:t>(код ОКВЭД 2 – «51»)</w:t>
      </w:r>
    </w:p>
    <w:p w:rsidR="00894D5B" w:rsidRDefault="00DC1760">
      <w:pPr>
        <w:widowControl w:val="0"/>
        <w:spacing w:line="341" w:lineRule="auto"/>
      </w:pPr>
      <w:r>
        <w:t xml:space="preserve">78. Вертодром – это </w:t>
      </w:r>
      <w:r>
        <w:rPr>
          <w:bCs/>
        </w:rPr>
        <w:t>у</w:t>
      </w:r>
      <w:r>
        <w:t xml:space="preserve">часток земли или определенный участок поверхности сооружения, предназначенный полностью или частично </w:t>
      </w:r>
      <w:r>
        <w:br w:type="textWrapping" w:clear="all"/>
      </w:r>
      <w:r>
        <w:t>для взлета, посадки, руления и стоянки вертолетов гражданской авиации, государственн</w:t>
      </w:r>
      <w:r>
        <w:t>ой авиации и экспериментальной авиации. Ветродромы отражаются в форме двумя кодами: по коду 146 – в «единицах» и по коду 129 – в «тыс кв м».</w:t>
      </w:r>
    </w:p>
    <w:p w:rsidR="00894D5B" w:rsidRDefault="00DC1760">
      <w:pPr>
        <w:spacing w:line="355" w:lineRule="auto"/>
      </w:pPr>
      <w:r>
        <w:rPr>
          <w:bCs/>
        </w:rPr>
        <w:t xml:space="preserve">Складское хозяйство и вспомогательная транспортная деятельность </w:t>
      </w:r>
      <w:r>
        <w:br w:type="textWrapping" w:clear="all"/>
      </w:r>
      <w:r>
        <w:rPr>
          <w:bCs/>
        </w:rPr>
        <w:t>(код ОКВЭД 2 – «52»)</w:t>
      </w:r>
    </w:p>
    <w:p w:rsidR="00894D5B" w:rsidRDefault="00DC1760">
      <w:pPr>
        <w:spacing w:line="355" w:lineRule="auto"/>
        <w:rPr>
          <w:shd w:val="clear" w:color="auto" w:fill="FFFFFF"/>
        </w:rPr>
      </w:pPr>
      <w:r>
        <w:lastRenderedPageBreak/>
        <w:t>79. По коду 5811 отражаются д</w:t>
      </w:r>
      <w:r>
        <w:t>анные по вводу в действие э</w:t>
      </w:r>
      <w:r>
        <w:rPr>
          <w:shd w:val="clear" w:color="auto" w:fill="FFFFFF"/>
        </w:rPr>
        <w:t xml:space="preserve">леваторов, которые представляют собой комплексы сооружений, предназначенные </w:t>
      </w:r>
      <w:r>
        <w:rPr>
          <w:shd w:val="clear" w:color="auto" w:fill="FFFFFF"/>
        </w:rPr>
        <w:br/>
        <w:t>для приема зерна от хозяйств, очистки его от примесей, сушки и отгрузки потребителям, независимо от места их расположения и назначения.</w:t>
      </w:r>
    </w:p>
    <w:p w:rsidR="00894D5B" w:rsidRDefault="00DC1760">
      <w:pPr>
        <w:spacing w:line="355" w:lineRule="auto"/>
        <w:rPr>
          <w:shd w:val="clear" w:color="auto" w:fill="FFFFFF"/>
        </w:rPr>
      </w:pPr>
      <w:r>
        <w:t>80</w:t>
      </w:r>
      <w:r>
        <w:t>. По коду 8121 отражаются данные по хранилищам капитального типа</w:t>
      </w:r>
      <w:r>
        <w:rPr>
          <w:shd w:val="clear" w:color="auto" w:fill="FFFFFF"/>
        </w:rPr>
        <w:t xml:space="preserve"> </w:t>
      </w:r>
      <w:r>
        <w:t>для картофеля, овощей и фруктов для организаций торговли.</w:t>
      </w:r>
    </w:p>
    <w:p w:rsidR="00894D5B" w:rsidRDefault="00DC1760">
      <w:pPr>
        <w:spacing w:line="355" w:lineRule="auto"/>
      </w:pPr>
      <w:r>
        <w:t xml:space="preserve">Из кода 8121 выделяются хранилища для картофеля – код 8122, хранилища для овощей, кроме картофеля – код 8123, смешанные хранилища </w:t>
      </w:r>
      <w:r>
        <w:br w:type="textWrapping" w:clear="all"/>
      </w:r>
      <w:r>
        <w:t>дл</w:t>
      </w:r>
      <w:r>
        <w:t xml:space="preserve">я овощей и картофеля – код 8124 и хранилища для фруктов и ягод – </w:t>
      </w:r>
      <w:r>
        <w:rPr>
          <w:rFonts w:eastAsia="Calibri"/>
          <w:lang w:eastAsia="en-US"/>
        </w:rPr>
        <w:br w:type="textWrapping" w:clear="all"/>
      </w:r>
      <w:r>
        <w:t>код 8125.</w:t>
      </w:r>
    </w:p>
    <w:p w:rsidR="00894D5B" w:rsidRDefault="00DC1760">
      <w:pPr>
        <w:spacing w:line="355" w:lineRule="auto"/>
      </w:pPr>
      <w:r>
        <w:t xml:space="preserve">81. Данные по вводу в эксплуатацию холодильников отражаются следующими кодами: 8161 – для организаций торговли, 5490 – </w:t>
      </w:r>
      <w:r>
        <w:rPr>
          <w:rFonts w:eastAsia="Calibri"/>
          <w:lang w:eastAsia="en-US"/>
        </w:rPr>
        <w:br w:type="textWrapping" w:clear="all"/>
      </w:r>
      <w:r>
        <w:t xml:space="preserve">для производства мясных и молочных продуктов, 5521 – </w:t>
      </w:r>
      <w:r>
        <w:rPr>
          <w:rFonts w:eastAsia="Calibri"/>
          <w:lang w:eastAsia="en-US"/>
        </w:rPr>
        <w:br w:type="textWrapping" w:clear="all"/>
      </w:r>
      <w:r>
        <w:t>для рыбообрабатывающих производств.</w:t>
      </w:r>
    </w:p>
    <w:p w:rsidR="00894D5B" w:rsidRDefault="00DC1760">
      <w:pPr>
        <w:spacing w:line="355" w:lineRule="auto"/>
      </w:pPr>
      <w:r>
        <w:t xml:space="preserve">82. По коду 7270 отражаются данные по строительству складов </w:t>
      </w:r>
      <w:r>
        <w:rPr>
          <w:rFonts w:eastAsia="Calibri"/>
          <w:lang w:eastAsia="en-US"/>
        </w:rPr>
        <w:br w:type="textWrapping" w:clear="all"/>
      </w:r>
      <w:r>
        <w:t>для хранения минеральных удобрений, ядохимикатов, микробиологических средств и известковых материалов (включая немеханизированные склады) капитального типа, по</w:t>
      </w:r>
      <w:r>
        <w:t xml:space="preserve">строенным по типовым проектам. Навесы для хранения минеральных удобрений, а также емкости для аммиачной воды по коду 7270 </w:t>
      </w:r>
      <w:r>
        <w:br/>
        <w:t>не отражаются.</w:t>
      </w:r>
    </w:p>
    <w:p w:rsidR="00894D5B" w:rsidRDefault="00DC1760">
      <w:pPr>
        <w:widowControl w:val="0"/>
        <w:spacing w:line="355" w:lineRule="auto"/>
        <w:rPr>
          <w:shd w:val="clear" w:color="auto" w:fill="FFFFFF"/>
        </w:rPr>
      </w:pPr>
      <w:r>
        <w:t>83. По коду 8190 отражаются данные по вводу в действие общетоварных складов. Общетоварные склады – основной вид складо</w:t>
      </w:r>
      <w:r>
        <w:t xml:space="preserve">в </w:t>
      </w:r>
      <w:r>
        <w:br w:type="textWrapping" w:clear="all"/>
      </w:r>
      <w:r>
        <w:t xml:space="preserve">в торговле, которые предназначены для хранения и переработки непродовольственных и продовольственных товаров, не нуждающихся </w:t>
      </w:r>
      <w:r>
        <w:br w:type="textWrapping" w:clear="all"/>
      </w:r>
      <w:r>
        <w:t>в создании особого режима (специальных условий).</w:t>
      </w:r>
    </w:p>
    <w:p w:rsidR="00894D5B" w:rsidRDefault="00DC1760">
      <w:pPr>
        <w:widowControl w:val="0"/>
        <w:spacing w:line="355" w:lineRule="auto"/>
        <w:rPr>
          <w:shd w:val="clear" w:color="auto" w:fill="FFFFFF"/>
        </w:rPr>
      </w:pPr>
      <w:r>
        <w:t xml:space="preserve">84. </w:t>
      </w:r>
      <w:r>
        <w:rPr>
          <w:bCs/>
        </w:rPr>
        <w:t>По</w:t>
      </w:r>
      <w:r>
        <w:t xml:space="preserve"> автовокзалам (</w:t>
      </w:r>
      <w:r>
        <w:rPr>
          <w:bCs/>
        </w:rPr>
        <w:t xml:space="preserve">код </w:t>
      </w:r>
      <w:r>
        <w:t>120)</w:t>
      </w:r>
      <w:r>
        <w:rPr>
          <w:b/>
        </w:rPr>
        <w:t xml:space="preserve"> </w:t>
      </w:r>
      <w:r>
        <w:t>отражается</w:t>
      </w:r>
      <w:r>
        <w:rPr>
          <w:b/>
        </w:rPr>
        <w:t xml:space="preserve"> </w:t>
      </w:r>
      <w:r>
        <w:t xml:space="preserve">пассажиропоток </w:t>
      </w:r>
      <w:r>
        <w:rPr>
          <w:rFonts w:eastAsia="Calibri"/>
          <w:lang w:eastAsia="en-US"/>
        </w:rPr>
        <w:br w:type="textWrapping" w:clear="all"/>
      </w:r>
      <w:r>
        <w:t>на</w:t>
      </w:r>
      <w:r>
        <w:rPr>
          <w:b/>
        </w:rPr>
        <w:t xml:space="preserve"> </w:t>
      </w:r>
      <w:r>
        <w:t>стационарных серви</w:t>
      </w:r>
      <w:r>
        <w:t xml:space="preserve">сных сооружениях, которые используются </w:t>
      </w:r>
      <w:r>
        <w:rPr>
          <w:rFonts w:eastAsia="Calibri"/>
          <w:lang w:eastAsia="en-US"/>
        </w:rPr>
        <w:br w:type="textWrapping" w:clear="all"/>
      </w:r>
      <w:r>
        <w:t>для отправления и прибытия автотранспорта.</w:t>
      </w:r>
    </w:p>
    <w:p w:rsidR="00894D5B" w:rsidRDefault="00DC1760">
      <w:pPr>
        <w:widowControl w:val="0"/>
        <w:spacing w:line="355" w:lineRule="auto"/>
        <w:rPr>
          <w:bCs/>
        </w:rPr>
      </w:pPr>
      <w:r>
        <w:t xml:space="preserve">85. </w:t>
      </w:r>
      <w:r>
        <w:rPr>
          <w:bCs/>
        </w:rPr>
        <w:t>Мосты</w:t>
      </w:r>
      <w:r>
        <w:rPr>
          <w:b/>
          <w:bCs/>
        </w:rPr>
        <w:t xml:space="preserve"> </w:t>
      </w:r>
      <w:r>
        <w:rPr>
          <w:bCs/>
        </w:rPr>
        <w:t>как</w:t>
      </w:r>
      <w:r>
        <w:rPr>
          <w:b/>
          <w:bCs/>
        </w:rPr>
        <w:t xml:space="preserve"> </w:t>
      </w:r>
      <w:r>
        <w:t>искусственные дорожные сооружения включают в себя:</w:t>
      </w:r>
      <w:r>
        <w:rPr>
          <w:b/>
          <w:bCs/>
        </w:rPr>
        <w:t xml:space="preserve"> </w:t>
      </w:r>
      <w:r>
        <w:t xml:space="preserve">мосты капитальные всех видов, путепроводы, тоннели, эстакады, транспортные переходы и подобные сооружения и </w:t>
      </w:r>
      <w:r>
        <w:t>отражаются</w:t>
      </w:r>
      <w:r>
        <w:rPr>
          <w:b/>
          <w:bCs/>
        </w:rPr>
        <w:t xml:space="preserve"> </w:t>
      </w:r>
      <w:r>
        <w:rPr>
          <w:bCs/>
        </w:rPr>
        <w:t xml:space="preserve">в «единицах» по коду 6583 </w:t>
      </w:r>
      <w:r>
        <w:rPr>
          <w:rFonts w:eastAsia="Calibri"/>
          <w:lang w:eastAsia="en-US"/>
        </w:rPr>
        <w:br w:type="textWrapping" w:clear="all"/>
      </w:r>
      <w:r>
        <w:rPr>
          <w:bCs/>
        </w:rPr>
        <w:lastRenderedPageBreak/>
        <w:t>и в «погонных метрах» по коду 6584.</w:t>
      </w:r>
    </w:p>
    <w:p w:rsidR="00894D5B" w:rsidRDefault="00DC1760">
      <w:pPr>
        <w:widowControl w:val="0"/>
        <w:spacing w:line="355" w:lineRule="auto"/>
        <w:rPr>
          <w:bCs/>
        </w:rPr>
      </w:pPr>
      <w:r>
        <w:rPr>
          <w:bCs/>
        </w:rPr>
        <w:t xml:space="preserve">Деятельность по предоставлению мест для временного проживания </w:t>
      </w:r>
      <w:r>
        <w:rPr>
          <w:rFonts w:eastAsia="Calibri"/>
          <w:lang w:eastAsia="en-US"/>
        </w:rPr>
        <w:br w:type="textWrapping" w:clear="all"/>
      </w:r>
      <w:r>
        <w:rPr>
          <w:bCs/>
        </w:rPr>
        <w:t>(код ОКВЭД 2 – «55»)</w:t>
      </w:r>
    </w:p>
    <w:p w:rsidR="00894D5B" w:rsidRDefault="00DC1760">
      <w:pPr>
        <w:widowControl w:val="0"/>
        <w:spacing w:line="355" w:lineRule="auto"/>
      </w:pPr>
      <w:r>
        <w:t>86. По коду 561 отражается количество построенных гостиниц, отелей, апарт-отелей, хостелов и други</w:t>
      </w:r>
      <w:r>
        <w:t>х организаций гостиничного типа, кроме туристских баз, мотелей и кемпингов, по коду 560 отражается количество номеров в них, по коду 555 – количество мест.</w:t>
      </w:r>
    </w:p>
    <w:p w:rsidR="00894D5B" w:rsidRDefault="00DC1760">
      <w:pPr>
        <w:spacing w:line="355" w:lineRule="auto"/>
      </w:pPr>
      <w:r>
        <w:t xml:space="preserve">При реконструкции гостиниц показывается только прирост мест </w:t>
      </w:r>
      <w:r>
        <w:br/>
        <w:t xml:space="preserve">и номеров (коды 555 и 560). </w:t>
      </w:r>
    </w:p>
    <w:p w:rsidR="00894D5B" w:rsidRDefault="00DC1760">
      <w:pPr>
        <w:spacing w:line="355" w:lineRule="auto"/>
      </w:pPr>
      <w:r>
        <w:t>87. Количе</w:t>
      </w:r>
      <w:r>
        <w:t>ство построенных оздоровительных организаций (дома отдыха, пансионаты, базы отдыха) с регламентированным режимом, предназначенных для отдыха практически здоровых людей, расположенных, как правило, в пределах курортов, лечебно-оздоровительных местностей, пр</w:t>
      </w:r>
      <w:r>
        <w:t xml:space="preserve">игородных зонах отражается по коду 614, по коду 613 отражается количество номеров в них, по коду 610 – количество мест. </w:t>
      </w:r>
    </w:p>
    <w:p w:rsidR="00894D5B" w:rsidRDefault="00DC1760">
      <w:pPr>
        <w:spacing w:line="355" w:lineRule="auto"/>
      </w:pPr>
      <w:r>
        <w:t xml:space="preserve">Из общего итога выделяются данные по вводу домов отдыха </w:t>
      </w:r>
      <w:r>
        <w:br w:type="textWrapping" w:clear="all"/>
      </w:r>
      <w:r>
        <w:t>с материалом стен из дерева по коду 611 – «мест» и по коду 612 – «кв. м».</w:t>
      </w:r>
    </w:p>
    <w:p w:rsidR="00894D5B" w:rsidRDefault="00DC1760">
      <w:pPr>
        <w:spacing w:line="355" w:lineRule="auto"/>
      </w:pPr>
      <w:r>
        <w:t xml:space="preserve">При </w:t>
      </w:r>
      <w:r>
        <w:t xml:space="preserve">реконструкции домов отдыха показывается только прирост мест </w:t>
      </w:r>
      <w:r>
        <w:br/>
        <w:t xml:space="preserve">и номеров (коды 610 и 613). </w:t>
      </w:r>
    </w:p>
    <w:p w:rsidR="00894D5B" w:rsidRDefault="00DC1760">
      <w:pPr>
        <w:spacing w:line="355" w:lineRule="auto"/>
      </w:pPr>
      <w:r>
        <w:t xml:space="preserve">88. По коду 659 отражается  количество введенных в действие туристских баз как </w:t>
      </w:r>
      <w:r>
        <w:rPr>
          <w:shd w:val="clear" w:color="auto" w:fill="FFFFFF"/>
        </w:rPr>
        <w:t xml:space="preserve">отдельно стоящих зданий, так и комплекса зданий для </w:t>
      </w:r>
      <w:r>
        <w:t>приема,</w:t>
      </w:r>
      <w:r>
        <w:rPr>
          <w:shd w:val="clear" w:color="auto" w:fill="FFFFFF"/>
        </w:rPr>
        <w:t xml:space="preserve"> размещения, организации </w:t>
      </w:r>
      <w:hyperlink r:id="rId14" w:tooltip="Общественное питание" w:history="1">
        <w:r>
          <w:rPr>
            <w:rStyle w:val="af3"/>
            <w:color w:val="auto"/>
            <w:u w:val="none"/>
            <w:shd w:val="clear" w:color="auto" w:fill="FFFFFF"/>
          </w:rPr>
          <w:t>питания</w:t>
        </w:r>
      </w:hyperlink>
      <w:r>
        <w:t>,</w:t>
      </w:r>
      <w:r>
        <w:rPr>
          <w:shd w:val="clear" w:color="auto" w:fill="FFFFFF"/>
        </w:rPr>
        <w:t xml:space="preserve"> </w:t>
      </w:r>
      <w:r>
        <w:t xml:space="preserve">активного отдыха или спортивного туризма, </w:t>
      </w:r>
      <w:r>
        <w:rPr>
          <w:shd w:val="clear" w:color="auto" w:fill="FFFFFF"/>
        </w:rPr>
        <w:t>культурно-</w:t>
      </w:r>
      <w:hyperlink r:id="rId15" w:tooltip="Бытовое обслуживание" w:history="1">
        <w:r>
          <w:rPr>
            <w:rStyle w:val="af3"/>
            <w:color w:val="auto"/>
            <w:u w:val="none"/>
            <w:shd w:val="clear" w:color="auto" w:fill="FFFFFF"/>
          </w:rPr>
          <w:t>бытового</w:t>
        </w:r>
      </w:hyperlink>
      <w:r>
        <w:t xml:space="preserve"> </w:t>
      </w:r>
      <w:r>
        <w:rPr>
          <w:shd w:val="clear" w:color="auto" w:fill="FFFFFF"/>
        </w:rPr>
        <w:t xml:space="preserve">обслуживания </w:t>
      </w:r>
      <w:hyperlink r:id="rId16" w:tooltip="Турист" w:history="1">
        <w:r>
          <w:rPr>
            <w:rStyle w:val="af3"/>
            <w:color w:val="auto"/>
            <w:u w:val="none"/>
            <w:shd w:val="clear" w:color="auto" w:fill="FFFFFF"/>
          </w:rPr>
          <w:t>туристов</w:t>
        </w:r>
      </w:hyperlink>
      <w:r>
        <w:rPr>
          <w:rStyle w:val="af3"/>
          <w:color w:val="auto"/>
          <w:u w:val="none"/>
          <w:shd w:val="clear" w:color="auto" w:fill="FFFFFF"/>
        </w:rPr>
        <w:t xml:space="preserve">, </w:t>
      </w:r>
      <w:r>
        <w:t>по коду 658 отражается количество номеров в них, по коду 645 – количество мест</w:t>
      </w:r>
      <w:r>
        <w:rPr>
          <w:shd w:val="clear" w:color="auto" w:fill="FFFFFF"/>
        </w:rPr>
        <w:t>.</w:t>
      </w:r>
      <w:r>
        <w:t xml:space="preserve"> </w:t>
      </w:r>
    </w:p>
    <w:p w:rsidR="00894D5B" w:rsidRDefault="00DC1760">
      <w:pPr>
        <w:spacing w:line="355" w:lineRule="auto"/>
      </w:pPr>
      <w:r>
        <w:t>Для размещения туристов могут использоваться капитальные строения гостиничного типа, сезонные помещения (летние домики</w:t>
      </w:r>
      <w:r>
        <w:t xml:space="preserve">, шатры и так далее), </w:t>
      </w:r>
      <w:r>
        <w:br/>
        <w:t>а также обустраиваться специальные места для организации палаточных лагерей.</w:t>
      </w:r>
    </w:p>
    <w:p w:rsidR="00894D5B" w:rsidRDefault="00DC1760">
      <w:pPr>
        <w:spacing w:line="355" w:lineRule="auto"/>
      </w:pPr>
      <w:r>
        <w:t xml:space="preserve">Из общего итога выделяются данные по вводу туристских баз </w:t>
      </w:r>
      <w:r>
        <w:br/>
        <w:t>с материалом стен из дерева по коду 1645 – «мест» и по коду 1646 – «кв. м».</w:t>
      </w:r>
    </w:p>
    <w:p w:rsidR="00894D5B" w:rsidRDefault="00DC1760">
      <w:pPr>
        <w:spacing w:line="355" w:lineRule="auto"/>
      </w:pPr>
      <w:r>
        <w:t>При реконструкции  ту</w:t>
      </w:r>
      <w:r>
        <w:t xml:space="preserve">ристских   баз  показывается  только  прирост  мест </w:t>
      </w:r>
    </w:p>
    <w:p w:rsidR="00894D5B" w:rsidRDefault="00DC1760">
      <w:pPr>
        <w:spacing w:line="355" w:lineRule="auto"/>
        <w:ind w:firstLine="0"/>
      </w:pPr>
      <w:r>
        <w:lastRenderedPageBreak/>
        <w:t xml:space="preserve">и номеров (коды 645 и 658). </w:t>
      </w:r>
    </w:p>
    <w:p w:rsidR="00894D5B" w:rsidRDefault="00DC1760">
      <w:pPr>
        <w:widowControl w:val="0"/>
        <w:spacing w:line="355" w:lineRule="auto"/>
      </w:pPr>
      <w:r>
        <w:t>89. По вводу в действие</w:t>
      </w:r>
      <w:r>
        <w:rPr>
          <w:b/>
        </w:rPr>
        <w:t xml:space="preserve"> </w:t>
      </w:r>
      <w:r>
        <w:t>мотелей</w:t>
      </w:r>
      <w:r>
        <w:rPr>
          <w:b/>
        </w:rPr>
        <w:t xml:space="preserve"> </w:t>
      </w:r>
      <w:r>
        <w:t>по</w:t>
      </w:r>
      <w:r>
        <w:rPr>
          <w:b/>
        </w:rPr>
        <w:t xml:space="preserve"> </w:t>
      </w:r>
      <w:r>
        <w:t>коду 655 показывается количество построенных специальных придорожных гостиниц, предназначенных исключительно для участников транзитного дви</w:t>
      </w:r>
      <w:r>
        <w:t xml:space="preserve">жения по автомобильной дороге, по коду 654 отражается количество номеров в них, по коду 647 – количество мест. </w:t>
      </w:r>
    </w:p>
    <w:p w:rsidR="00894D5B" w:rsidRDefault="00DC1760">
      <w:pPr>
        <w:widowControl w:val="0"/>
        <w:spacing w:line="355" w:lineRule="auto"/>
      </w:pPr>
      <w:r>
        <w:t>В отличие от гостиниц обычного типа, один номер мотеля предоставляется «экипажу» одного автомобиля, поэтому в каждом номере мотеля должны быть к</w:t>
      </w:r>
      <w:r>
        <w:t xml:space="preserve">ак обязательные, так и дополнительные места. </w:t>
      </w:r>
      <w:r>
        <w:br/>
        <w:t>К особенностям мотеля относится наличие стоянки автомобилей, принадлежащих проживающим в нем. Вблизи него, как правило, располагаются станции технического обслуживания автомобилей и автозаправочная станция.</w:t>
      </w:r>
    </w:p>
    <w:p w:rsidR="00894D5B" w:rsidRDefault="00DC1760">
      <w:pPr>
        <w:widowControl w:val="0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</w:t>
      </w:r>
      <w:r>
        <w:rPr>
          <w:rFonts w:eastAsia="Calibri"/>
          <w:lang w:eastAsia="en-US"/>
        </w:rPr>
        <w:t xml:space="preserve">общего итога выделяются данные по вводу мотелей с материалом стен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из дерева по коду 1647 – «мест» и по коду 2647 – «кв. м».</w:t>
      </w:r>
    </w:p>
    <w:p w:rsidR="00894D5B" w:rsidRDefault="00DC1760">
      <w:pPr>
        <w:spacing w:line="355" w:lineRule="auto"/>
      </w:pPr>
      <w:r>
        <w:t xml:space="preserve">При реконструкции мотелей показывается только прирост мест </w:t>
      </w:r>
      <w:r>
        <w:br/>
        <w:t xml:space="preserve">и номеров (коды 647 и 654). </w:t>
      </w:r>
    </w:p>
    <w:p w:rsidR="00894D5B" w:rsidRDefault="00DC1760">
      <w:pPr>
        <w:widowControl w:val="0"/>
        <w:spacing w:line="355" w:lineRule="auto"/>
      </w:pPr>
      <w:r>
        <w:t>90. Данные по количеству введенных кемпинг</w:t>
      </w:r>
      <w:r>
        <w:t xml:space="preserve">ов – коллективным объектам размещения на закрытых площадках, предназначенных для палаток, автофургонов, автоприцепов, домов на колесах и туристских хижин – отражаются по коду 657, по коду 656 отражается количество номеров в них, </w:t>
      </w:r>
      <w:r>
        <w:br/>
        <w:t>по коду 648 – количество м</w:t>
      </w:r>
      <w:r>
        <w:t>ест.</w:t>
      </w:r>
    </w:p>
    <w:p w:rsidR="00894D5B" w:rsidRDefault="00DC1760">
      <w:pPr>
        <w:widowControl w:val="0"/>
        <w:spacing w:line="355" w:lineRule="auto"/>
      </w:pPr>
      <w:r>
        <w:t xml:space="preserve">До 2002 года кемпинги учитывались в числе гостиниц и аналогичных средств размещения, с 2002 года </w:t>
      </w:r>
      <w:r>
        <w:rPr>
          <w:rFonts w:eastAsia="Calibri"/>
          <w:lang w:eastAsia="en-US"/>
        </w:rPr>
        <w:t>–</w:t>
      </w:r>
      <w:r>
        <w:t xml:space="preserve"> отнесены к организациям отдыха.</w:t>
      </w:r>
    </w:p>
    <w:p w:rsidR="00894D5B" w:rsidRDefault="00DC1760">
      <w:pPr>
        <w:widowControl w:val="0"/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Из общего итога выделяются данные по вводу кемпингов с материалом</w:t>
      </w:r>
      <w:r>
        <w:t xml:space="preserve"> </w:t>
      </w:r>
      <w:r>
        <w:rPr>
          <w:rFonts w:eastAsia="Calibri"/>
          <w:lang w:eastAsia="en-US"/>
        </w:rPr>
        <w:t xml:space="preserve">стен из дерева по коду 1648 – «мест» и по коду 1649 – </w:t>
      </w:r>
      <w:r>
        <w:rPr>
          <w:rFonts w:eastAsia="Calibri"/>
          <w:lang w:eastAsia="en-US"/>
        </w:rPr>
        <w:t>«кв. м».</w:t>
      </w:r>
    </w:p>
    <w:p w:rsidR="00894D5B" w:rsidRDefault="00DC1760">
      <w:pPr>
        <w:spacing w:line="355" w:lineRule="auto"/>
      </w:pPr>
      <w:r>
        <w:t xml:space="preserve">При реконструкции кемпингов показывается только прирост мест </w:t>
      </w:r>
      <w:r>
        <w:br/>
        <w:t xml:space="preserve">и номеров (коды 648 и 656). </w:t>
      </w:r>
    </w:p>
    <w:p w:rsidR="00894D5B" w:rsidRDefault="00DC1760">
      <w:pPr>
        <w:spacing w:line="355" w:lineRule="auto"/>
      </w:pPr>
      <w:r>
        <w:t xml:space="preserve">91. По коду 918 отражается количество построенных </w:t>
      </w:r>
      <w:r>
        <w:rPr>
          <w:bCs/>
        </w:rPr>
        <w:t>детских оздоровительных лагерей</w:t>
      </w:r>
      <w:r>
        <w:t>, по коду 917 отражается количество номеров в них, по коду 916 – количество</w:t>
      </w:r>
      <w:r>
        <w:t xml:space="preserve"> мест. Оздоровительные лагеря для школьников – </w:t>
      </w:r>
      <w:r>
        <w:br/>
        <w:t>это загородные стационарные лагеря для отдыха детей и их оздоровления.</w:t>
      </w:r>
    </w:p>
    <w:p w:rsidR="00894D5B" w:rsidRDefault="00DC1760">
      <w:pPr>
        <w:spacing w:line="355" w:lineRule="auto"/>
      </w:pPr>
      <w:r>
        <w:lastRenderedPageBreak/>
        <w:t xml:space="preserve">При реконструкции </w:t>
      </w:r>
      <w:r>
        <w:rPr>
          <w:bCs/>
        </w:rPr>
        <w:t>детских оздоровительных лагерей</w:t>
      </w:r>
      <w:r>
        <w:t xml:space="preserve"> показывается только прирост мест и номеров (коды 916 и 917). </w:t>
      </w:r>
    </w:p>
    <w:p w:rsidR="00894D5B" w:rsidRDefault="00DC1760">
      <w:pPr>
        <w:spacing w:line="355" w:lineRule="auto"/>
      </w:pPr>
      <w:r>
        <w:t>Данные по детским санатор</w:t>
      </w:r>
      <w:r>
        <w:t>но-курортным организациям (детским санаториям и детским санаторно-оздоровительным лагерям круглогодичного действия) по коду 916 не отражаются, а включаются в данные по коду 595 «Санатории».</w:t>
      </w:r>
    </w:p>
    <w:p w:rsidR="00894D5B" w:rsidRDefault="00DC1760">
      <w:pPr>
        <w:spacing w:line="355" w:lineRule="auto"/>
      </w:pPr>
      <w:r>
        <w:t xml:space="preserve">Деятельность по предоставлению продуктов питания и напитков </w:t>
      </w:r>
      <w:r>
        <w:br w:type="textWrapping" w:clear="all"/>
      </w:r>
      <w:r>
        <w:rPr>
          <w:bCs/>
        </w:rPr>
        <w:t>(код ОКВЭД 2 – «56»)</w:t>
      </w:r>
    </w:p>
    <w:p w:rsidR="00894D5B" w:rsidRDefault="00DC1760">
      <w:pPr>
        <w:widowControl w:val="0"/>
        <w:spacing w:line="355" w:lineRule="auto"/>
      </w:pPr>
      <w:r>
        <w:t>92. Предприятием общественного питания является предприятие, предназначенное для производства кулинарной продукции, мучных, кондитерских и булочных изделий, их реализации и (или) организации потребления. К предприятиям общественного пи</w:t>
      </w:r>
      <w:r>
        <w:t>тания (код 8142) относятся: рестораны, бары, столовые, закусочные, кафе.</w:t>
      </w:r>
    </w:p>
    <w:p w:rsidR="00894D5B" w:rsidRDefault="00DC1760">
      <w:pPr>
        <w:widowControl w:val="0"/>
        <w:spacing w:line="355" w:lineRule="auto"/>
      </w:pPr>
      <w:r>
        <w:t>Сюда также относятся предприятия общественного питания (столовые, буфеты), предназначенные для обслуживания работников предприятий, организаций и учреждений, учащихся учебных заведени</w:t>
      </w:r>
      <w:r>
        <w:t>й.</w:t>
      </w:r>
    </w:p>
    <w:p w:rsidR="00894D5B" w:rsidRDefault="00DC1760">
      <w:pPr>
        <w:widowControl w:val="0"/>
        <w:spacing w:line="355" w:lineRule="auto"/>
      </w:pPr>
      <w:r>
        <w:t xml:space="preserve">Кафетерии и буфеты, организованные при магазинах, столовые </w:t>
      </w:r>
      <w:r>
        <w:br w:type="textWrapping" w:clear="all"/>
      </w:r>
      <w:r>
        <w:t xml:space="preserve">при лечебных и оздоровительных учреждениях (больницах, домах отдыха, санаториях), а также временные (сезонные) предприятия по коду 8142 </w:t>
      </w:r>
      <w:r>
        <w:br w:type="textWrapping" w:clear="all"/>
      </w:r>
      <w:r>
        <w:t>не учитываются.</w:t>
      </w:r>
    </w:p>
    <w:p w:rsidR="00894D5B" w:rsidRDefault="00DC1760">
      <w:pPr>
        <w:widowControl w:val="0"/>
        <w:spacing w:line="355" w:lineRule="auto"/>
      </w:pPr>
      <w:r>
        <w:rPr>
          <w:bCs/>
        </w:rPr>
        <w:t>Операции с недвижимым имуществом (код ОКВЭД 2 – «68»)</w:t>
      </w:r>
    </w:p>
    <w:p w:rsidR="00894D5B" w:rsidRDefault="00DC1760">
      <w:pPr>
        <w:spacing w:line="355" w:lineRule="auto"/>
      </w:pPr>
      <w:r>
        <w:t>93.</w:t>
      </w:r>
      <w:r>
        <w:rPr>
          <w:b/>
        </w:rPr>
        <w:t xml:space="preserve"> </w:t>
      </w:r>
      <w:r>
        <w:t xml:space="preserve">Капитальный гараж – это объект недвижимости, к которому предъявляются все требования, касающиеся его статуса, предназначенный </w:t>
      </w:r>
      <w:r>
        <w:br/>
        <w:t>для организованного размещения мест постоянного хранения автотранспорта</w:t>
      </w:r>
      <w:r>
        <w:t>. Конструкция включает в себя фундамент, являющийся неотделимой ее частью. Постройку нельзя просто перенести, не нарушив ее целостности, что отличает капитальный гараж от временного сооружения.</w:t>
      </w:r>
    </w:p>
    <w:p w:rsidR="00894D5B" w:rsidRDefault="00DC1760">
      <w:pPr>
        <w:widowControl w:val="0"/>
        <w:spacing w:line="355" w:lineRule="auto"/>
      </w:pPr>
      <w:r>
        <w:t xml:space="preserve">По коду 1473 отражается количество введенных отдельно стоящих </w:t>
      </w:r>
      <w:r>
        <w:t>одноэтажных или многоэтажных капитальных гаражей</w:t>
      </w:r>
      <w:r>
        <w:rPr>
          <w:b/>
        </w:rPr>
        <w:t xml:space="preserve">, </w:t>
      </w:r>
      <w:r>
        <w:t>гаражей-стоянок, стоянок, по коду 1474 – количество машиномест в них.</w:t>
      </w:r>
    </w:p>
    <w:p w:rsidR="00894D5B" w:rsidRDefault="00DC1760">
      <w:pPr>
        <w:widowControl w:val="0"/>
        <w:spacing w:line="355" w:lineRule="auto"/>
      </w:pPr>
      <w:r>
        <w:t xml:space="preserve">По указанным кодам не включаются: объекты гаражного назначения, </w:t>
      </w:r>
      <w:r>
        <w:br w:type="textWrapping" w:clear="all"/>
      </w:r>
      <w:r>
        <w:lastRenderedPageBreak/>
        <w:t>не являющиеся капитальными, встроено-пристроенные гаражи, подземные авт</w:t>
      </w:r>
      <w:r>
        <w:t xml:space="preserve">остоянки и паркинги, парковки, транспортно-пересадочные узлы, открытые плоскостные </w:t>
      </w:r>
      <w:hyperlink r:id="rId17" w:tooltip="Территория" w:history="1">
        <w:r>
          <w:t>площадк</w:t>
        </w:r>
      </w:hyperlink>
      <w:r>
        <w:t>и.</w:t>
      </w:r>
    </w:p>
    <w:p w:rsidR="00894D5B" w:rsidRDefault="00DC1760">
      <w:pPr>
        <w:widowControl w:val="0"/>
        <w:spacing w:line="355" w:lineRule="auto"/>
      </w:pPr>
      <w:r>
        <w:t>Реконструкция капитальных гаражей отража</w:t>
      </w:r>
      <w:r>
        <w:t>ется только по коду 1474.</w:t>
      </w:r>
    </w:p>
    <w:p w:rsidR="00894D5B" w:rsidRDefault="00DC1760">
      <w:pPr>
        <w:spacing w:line="355" w:lineRule="auto"/>
      </w:pPr>
      <w:r>
        <w:t xml:space="preserve">Деятельность ветеринарная </w:t>
      </w:r>
      <w:r>
        <w:rPr>
          <w:bCs/>
        </w:rPr>
        <w:t>(код ОКВЭД 2 – «75»)</w:t>
      </w:r>
    </w:p>
    <w:p w:rsidR="00894D5B" w:rsidRDefault="00DC1760">
      <w:pPr>
        <w:spacing w:line="355" w:lineRule="auto"/>
      </w:pPr>
      <w:r>
        <w:t>94. По коду 127 отражается</w:t>
      </w:r>
      <w:r>
        <w:rPr>
          <w:b/>
        </w:rPr>
        <w:t xml:space="preserve"> </w:t>
      </w:r>
      <w:r>
        <w:t>число посещений в смену во введенных ветеринарных пунктах, как отдельно стоящих, так и во встроенных помещениях, деятельность которых связана с лечением и к</w:t>
      </w:r>
      <w:r>
        <w:t>онтролем состояния здоровья сельскохозяйственных и домашних животных.</w:t>
      </w:r>
    </w:p>
    <w:p w:rsidR="00894D5B" w:rsidRDefault="00DC1760">
      <w:pPr>
        <w:spacing w:line="355" w:lineRule="auto"/>
      </w:pPr>
      <w:r>
        <w:t xml:space="preserve">Из кода 127 выделяются данные по вводу ветеринарных пунктов </w:t>
      </w:r>
      <w:r>
        <w:br w:type="textWrapping" w:clear="all"/>
      </w:r>
      <w:r>
        <w:t>с материалом стен из дерева по коду 1270 – «посещений в смену» и по коду 1271 – «кв. м».</w:t>
      </w:r>
    </w:p>
    <w:p w:rsidR="00894D5B" w:rsidRDefault="00DC1760">
      <w:pPr>
        <w:spacing w:line="355" w:lineRule="auto"/>
        <w:rPr>
          <w:bCs/>
        </w:rPr>
      </w:pPr>
      <w:r>
        <w:t>Деятельность органов государственног</w:t>
      </w:r>
      <w:r>
        <w:t xml:space="preserve">о управления по обеспечению военной безопасности, обязательному социальному обеспечению </w:t>
      </w:r>
      <w:r>
        <w:br w:type="textWrapping" w:clear="all"/>
      </w:r>
      <w:r>
        <w:rPr>
          <w:bCs/>
        </w:rPr>
        <w:t>(код ОКВЭД 2 – «84»)</w:t>
      </w:r>
    </w:p>
    <w:p w:rsidR="00894D5B" w:rsidRDefault="00DC1760">
      <w:pPr>
        <w:spacing w:line="348" w:lineRule="auto"/>
        <w:rPr>
          <w:rFonts w:eastAsia="Calibri"/>
          <w:lang w:eastAsia="en-US"/>
        </w:rPr>
      </w:pPr>
      <w:r>
        <w:t xml:space="preserve">95. По коду 152 отражается количество введенных пунктов пропуска через государственную границу. </w:t>
      </w:r>
      <w:r>
        <w:rPr>
          <w:rFonts w:eastAsia="Calibri"/>
          <w:lang w:eastAsia="en-US"/>
        </w:rPr>
        <w:t>Под пунктом пропуска через государственную границу</w:t>
      </w:r>
      <w:r>
        <w:rPr>
          <w:rFonts w:eastAsia="Calibri"/>
          <w:lang w:eastAsia="en-US"/>
        </w:rPr>
        <w:t xml:space="preserve"> понимается территория (акватория) в пределах железнодорожной, автомобильной станции или вокзала, морского, речного порта, аэропорта, военного аэродрома, открытых для международных сообщений (международных полетов), а также иной специально выделенный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>в не</w:t>
      </w:r>
      <w:r>
        <w:rPr>
          <w:rFonts w:eastAsia="Calibri"/>
          <w:lang w:eastAsia="en-US"/>
        </w:rPr>
        <w:t>посредственной близости от государственной границы участок местности, где в соответствии с законодательством Российской Федерации осуществляется пропуск через государственную  границу лиц, транспортных средств, грузов, товаров и животных.</w:t>
      </w:r>
    </w:p>
    <w:p w:rsidR="00894D5B" w:rsidRDefault="00DC1760">
      <w:pPr>
        <w:spacing w:line="348" w:lineRule="auto"/>
        <w:ind w:firstLine="708"/>
      </w:pPr>
      <w:r>
        <w:rPr>
          <w:rFonts w:eastAsia="Calibri"/>
          <w:lang w:eastAsia="en-US"/>
        </w:rPr>
        <w:t xml:space="preserve">96. </w:t>
      </w:r>
      <w:r>
        <w:t>По коду 153 о</w:t>
      </w:r>
      <w:r>
        <w:t xml:space="preserve">тражается количество введенных пожарных депо (подразделений пожарной охраны). Под пунктом пожарного депо понимается объект пожарной охраны, в котором расположены помещения для хранения пожарной техники и ее технического обслуживания, служебные помещения </w:t>
      </w:r>
      <w:r>
        <w:rPr>
          <w:rFonts w:eastAsia="Calibri"/>
          <w:lang w:eastAsia="en-US"/>
        </w:rPr>
        <w:br w:type="textWrapping" w:clear="all"/>
      </w:r>
      <w:r>
        <w:t>д</w:t>
      </w:r>
      <w:r>
        <w:t xml:space="preserve">ля размещения личного состава, помещение для приема извещений о пожаре, технические  и  вспомогательные   помещения,  необходимые   для  выполнения </w:t>
      </w:r>
    </w:p>
    <w:p w:rsidR="00894D5B" w:rsidRDefault="00DC1760">
      <w:pPr>
        <w:spacing w:line="348" w:lineRule="auto"/>
        <w:ind w:firstLine="0"/>
      </w:pPr>
      <w:r>
        <w:lastRenderedPageBreak/>
        <w:t>задач, возложенных на пожарную охрану.</w:t>
      </w:r>
    </w:p>
    <w:p w:rsidR="00894D5B" w:rsidRDefault="00DC1760">
      <w:pPr>
        <w:spacing w:line="348" w:lineRule="auto"/>
        <w:rPr>
          <w:strike/>
        </w:rPr>
      </w:pPr>
      <w:r>
        <w:t xml:space="preserve">Образование </w:t>
      </w:r>
      <w:r>
        <w:rPr>
          <w:bCs/>
        </w:rPr>
        <w:t>(код ОКВЭД 2 – «85»)</w:t>
      </w:r>
    </w:p>
    <w:p w:rsidR="00894D5B" w:rsidRDefault="00DC1760">
      <w:pPr>
        <w:widowControl w:val="0"/>
        <w:spacing w:line="348" w:lineRule="auto"/>
        <w:contextualSpacing/>
      </w:pPr>
      <w:r>
        <w:t>97. По образовательным организациям</w:t>
      </w:r>
      <w:r>
        <w:t xml:space="preserve"> высшего образования </w:t>
      </w:r>
      <w:r>
        <w:br w:type="textWrapping" w:clear="all"/>
      </w:r>
      <w:r>
        <w:t xml:space="preserve">по коду 680 показывается ввод объектов образования, реализующих образовательные программы высшего образования и научную деятельность. </w:t>
      </w:r>
    </w:p>
    <w:p w:rsidR="00894D5B" w:rsidRDefault="00DC1760">
      <w:pPr>
        <w:widowControl w:val="0"/>
        <w:spacing w:line="348" w:lineRule="auto"/>
        <w:contextualSpacing/>
      </w:pPr>
      <w:r>
        <w:t>98. По профессиональным образовательным организациям по коду 681 показывается ввод объектов образов</w:t>
      </w:r>
      <w:r>
        <w:t>ания, реализующих образовательные программы среднего профессионального образования и (или) по программам профессионального обучения.</w:t>
      </w:r>
    </w:p>
    <w:p w:rsidR="00894D5B" w:rsidRDefault="00DC1760">
      <w:pPr>
        <w:widowControl w:val="0"/>
        <w:spacing w:line="348" w:lineRule="auto"/>
        <w:contextualSpacing/>
      </w:pPr>
      <w:r>
        <w:t xml:space="preserve">По образовательным организациям высшего образования (код 680) </w:t>
      </w:r>
      <w:r>
        <w:br w:type="textWrapping" w:clear="all"/>
      </w:r>
      <w:r>
        <w:t>и профессиональным образовательным организациям (код 681) по</w:t>
      </w:r>
      <w:r>
        <w:t xml:space="preserve">казывается общая площадь учебно-лабораторных зданий, в которую входит сумма площадей учебно-производственных (основных), вспомогательных, подсобных и технических помещений в соответствии с утвержденным проектом </w:t>
      </w:r>
      <w:r>
        <w:br w:type="textWrapping" w:clear="all"/>
      </w:r>
      <w:r>
        <w:t>на строительство данного учебного заведения:</w:t>
      </w:r>
      <w:r>
        <w:t xml:space="preserve"> аудитории и демонстрационные залы при них, лаборатории, учебные кабинеты, мастерские всех назначений, залы (чертежные, курсового и дипломного проектирования, испытания конструкций, монтажно-демонтажные, спортивные и актовые) с помещениями при них, библиот</w:t>
      </w:r>
      <w:r>
        <w:t>еки, читальные залы, книгохранилища и прочие помещения при них, помещения архивов, помещения административно-хозяйственного управления, кинопроекционные, гардеробные, рекреационные помещения, вестибюли, тамбуры, помещения хозяйственного инвентаря, узлы упр</w:t>
      </w:r>
      <w:r>
        <w:t xml:space="preserve">авления, промежуточные технические этажи для размещения инженерных сетей </w:t>
      </w:r>
      <w:r>
        <w:br w:type="textWrapping" w:clear="all"/>
      </w:r>
      <w:r>
        <w:t>и оборудования и другие.</w:t>
      </w:r>
    </w:p>
    <w:p w:rsidR="00894D5B" w:rsidRDefault="00DC1760">
      <w:pPr>
        <w:widowControl w:val="0"/>
        <w:spacing w:line="348" w:lineRule="auto"/>
        <w:contextualSpacing/>
      </w:pPr>
      <w:r>
        <w:t>99. По общеобразовательным организациям по коду 901 отражаются данные по вводу объектов образования (включая школы-интернаты всех видов), реализующих образов</w:t>
      </w:r>
      <w:r>
        <w:t xml:space="preserve">ательные программы начального общего, основного общего и (или) среднего общего образования. Данные </w:t>
      </w:r>
      <w:r>
        <w:br w:type="textWrapping" w:clear="all"/>
      </w:r>
      <w:r>
        <w:t>по воскресным школам по этой строке не отражаются.</w:t>
      </w:r>
    </w:p>
    <w:p w:rsidR="00894D5B" w:rsidRDefault="00DC1760">
      <w:pPr>
        <w:spacing w:line="355" w:lineRule="auto"/>
      </w:pPr>
      <w:r>
        <w:t>Из кода 901 выделяются данные:</w:t>
      </w:r>
    </w:p>
    <w:p w:rsidR="00894D5B" w:rsidRDefault="00DC1760">
      <w:pPr>
        <w:spacing w:line="355" w:lineRule="auto"/>
      </w:pPr>
      <w:r>
        <w:t xml:space="preserve">по общеобразовательным организациям в сельской местности (код 900); </w:t>
      </w:r>
    </w:p>
    <w:p w:rsidR="00894D5B" w:rsidRDefault="00DC1760">
      <w:pPr>
        <w:spacing w:line="355" w:lineRule="auto"/>
      </w:pPr>
      <w:r>
        <w:t xml:space="preserve">по   </w:t>
      </w:r>
      <w:r>
        <w:t xml:space="preserve"> общеобразовательным      организациям,      построенным     за     счет </w:t>
      </w:r>
    </w:p>
    <w:p w:rsidR="00894D5B" w:rsidRDefault="00DC1760">
      <w:pPr>
        <w:spacing w:line="355" w:lineRule="auto"/>
        <w:ind w:firstLine="0"/>
      </w:pPr>
      <w:r>
        <w:lastRenderedPageBreak/>
        <w:t>софинансирования из федерального бюджета (код 903);</w:t>
      </w:r>
    </w:p>
    <w:p w:rsidR="00894D5B" w:rsidRDefault="00DC1760">
      <w:pPr>
        <w:widowControl w:val="0"/>
        <w:spacing w:line="355" w:lineRule="auto"/>
      </w:pPr>
      <w:r>
        <w:t xml:space="preserve">по общеобразовательным организациям с материалом стен из дерева </w:t>
      </w:r>
      <w:r>
        <w:br w:type="textWrapping" w:clear="all"/>
      </w:r>
      <w:r>
        <w:t>по коду 1901 – «ученических мест» и по коду 1902 – «кв. м».</w:t>
      </w:r>
    </w:p>
    <w:p w:rsidR="00894D5B" w:rsidRDefault="00DC1760">
      <w:pPr>
        <w:widowControl w:val="0"/>
        <w:spacing w:line="355" w:lineRule="auto"/>
      </w:pPr>
      <w:r>
        <w:t xml:space="preserve">Из кодов 1901 и 1902 соответственно выделяются данные по вводу общеобразовательных организаций в сельской местности с материалом стен </w:t>
      </w:r>
      <w:r>
        <w:br w:type="textWrapping" w:clear="all"/>
      </w:r>
      <w:r>
        <w:t>из дерева по коду 2900 – «ученических мест» и по коду 3900 – «кв. м».</w:t>
      </w:r>
    </w:p>
    <w:p w:rsidR="00894D5B" w:rsidRDefault="00DC1760">
      <w:pPr>
        <w:widowControl w:val="0"/>
        <w:spacing w:line="355" w:lineRule="auto"/>
      </w:pPr>
      <w:r>
        <w:t>100. По дошкольным образовательным организациям</w:t>
      </w:r>
      <w:r>
        <w:rPr>
          <w:b/>
        </w:rPr>
        <w:t xml:space="preserve"> </w:t>
      </w:r>
      <w:r>
        <w:t>по коду 910 отражаются данные по вводу объектов дошкольного образования, обеспечивающих образовательную деятельность по образовательным программам дошкольного образования, присмотр и уход за детьми.</w:t>
      </w:r>
    </w:p>
    <w:p w:rsidR="00894D5B" w:rsidRDefault="00DC1760">
      <w:pPr>
        <w:spacing w:line="355" w:lineRule="auto"/>
      </w:pPr>
      <w:r>
        <w:t>Из кода 910 выделяются данные:</w:t>
      </w:r>
    </w:p>
    <w:p w:rsidR="00894D5B" w:rsidRDefault="00DC1760">
      <w:pPr>
        <w:spacing w:line="355" w:lineRule="auto"/>
      </w:pPr>
      <w:r>
        <w:rPr>
          <w:rFonts w:eastAsia="Calibri"/>
          <w:lang w:eastAsia="en-US"/>
        </w:rPr>
        <w:t>по</w:t>
      </w:r>
      <w:r>
        <w:t xml:space="preserve"> дошкольным образователь</w:t>
      </w:r>
      <w:r>
        <w:t xml:space="preserve">ным организациям в сельской местности </w:t>
      </w:r>
      <w:r>
        <w:br w:type="textWrapping" w:clear="all"/>
      </w:r>
      <w:r>
        <w:t>(код 912);</w:t>
      </w:r>
    </w:p>
    <w:p w:rsidR="00894D5B" w:rsidRDefault="00DC1760">
      <w:pPr>
        <w:spacing w:line="355" w:lineRule="auto"/>
      </w:pPr>
      <w:r>
        <w:t xml:space="preserve">по дошкольным образовательным организациям для детей в возрасте </w:t>
      </w:r>
      <w:r>
        <w:rPr>
          <w:rFonts w:eastAsia="Calibri"/>
          <w:lang w:eastAsia="en-US"/>
        </w:rPr>
        <w:br w:type="textWrapping" w:clear="all"/>
      </w:r>
      <w:r>
        <w:t>до трех лет (код 913) из них:</w:t>
      </w:r>
    </w:p>
    <w:p w:rsidR="00894D5B" w:rsidRDefault="00DC1760">
      <w:pPr>
        <w:tabs>
          <w:tab w:val="left" w:pos="567"/>
        </w:tabs>
        <w:spacing w:line="355" w:lineRule="auto"/>
        <w:ind w:firstLine="567"/>
      </w:pPr>
      <w:r>
        <w:t>дошкольные образовательные организации для детей в возрасте до трех лет в сельской местности (код 914);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дошк</w:t>
      </w:r>
      <w:r>
        <w:rPr>
          <w:rFonts w:eastAsia="Calibri"/>
          <w:lang w:eastAsia="en-US"/>
        </w:rPr>
        <w:t xml:space="preserve">ольным образовательным организациям с материалом стен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из дерева по коду 1910 </w:t>
      </w:r>
      <w:r>
        <w:t>–</w:t>
      </w:r>
      <w:r>
        <w:rPr>
          <w:rFonts w:eastAsia="Calibri"/>
          <w:lang w:eastAsia="en-US"/>
        </w:rPr>
        <w:t xml:space="preserve"> «мест» и по коду 2910 </w:t>
      </w:r>
      <w:r>
        <w:t>–</w:t>
      </w:r>
      <w:r>
        <w:rPr>
          <w:rFonts w:eastAsia="Calibri"/>
          <w:lang w:eastAsia="en-US"/>
        </w:rPr>
        <w:t xml:space="preserve"> «кв. м».</w:t>
      </w:r>
    </w:p>
    <w:p w:rsidR="00894D5B" w:rsidRDefault="00DC1760">
      <w:pPr>
        <w:spacing w:line="355" w:lineRule="auto"/>
      </w:pPr>
      <w:r>
        <w:t>Из кодов 1910 и 2910 соответственно выделяются данные: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t xml:space="preserve">дошкольные образовательные организации в сельской местности </w:t>
      </w:r>
      <w:r>
        <w:rPr>
          <w:rFonts w:eastAsia="Calibri"/>
          <w:lang w:eastAsia="en-US"/>
        </w:rPr>
        <w:br w:type="textWrapping" w:clear="all"/>
      </w:r>
      <w:r>
        <w:t>с материалом стен из дерева</w:t>
      </w:r>
      <w:r>
        <w:t xml:space="preserve"> по коду 1913 – «мест» и по </w:t>
      </w:r>
      <w:r>
        <w:rPr>
          <w:rFonts w:eastAsia="Calibri"/>
          <w:lang w:eastAsia="en-US"/>
        </w:rPr>
        <w:t>коду 1914 – «кв. м».</w:t>
      </w:r>
    </w:p>
    <w:p w:rsidR="00894D5B" w:rsidRDefault="00DC1760">
      <w:pPr>
        <w:spacing w:line="355" w:lineRule="auto"/>
        <w:rPr>
          <w:rFonts w:eastAsia="Calibri"/>
          <w:lang w:eastAsia="en-US"/>
        </w:rPr>
      </w:pPr>
      <w:r>
        <w:t xml:space="preserve">101. </w:t>
      </w:r>
      <w:r>
        <w:rPr>
          <w:rFonts w:eastAsia="Calibri"/>
          <w:lang w:eastAsia="en-US"/>
        </w:rPr>
        <w:t xml:space="preserve">По коду 126 показываются данные по вводу музыкальных школ. </w:t>
      </w:r>
      <w:r>
        <w:rPr>
          <w:rFonts w:eastAsia="Calibri"/>
          <w:lang w:eastAsia="en-US"/>
        </w:rPr>
        <w:br/>
        <w:t>Из кода 126 выделяются данные по вводу музыкальных школ с материалом стен из дерева по коду 1260 – «мест» и по коду 1261 – «кв. м».</w:t>
      </w:r>
    </w:p>
    <w:p w:rsidR="00894D5B" w:rsidRDefault="00DC1760">
      <w:pPr>
        <w:spacing w:line="355" w:lineRule="auto"/>
      </w:pPr>
      <w:r>
        <w:t>102. Колич</w:t>
      </w:r>
      <w:r>
        <w:t>ество введенных мест в школах искусств, где под одной крышей могут заниматься вокалисты, музыканты, художники, танцоры, дизайнеры, отражается по коду 682.</w:t>
      </w:r>
    </w:p>
    <w:p w:rsidR="00894D5B" w:rsidRDefault="00DC1760">
      <w:pPr>
        <w:spacing w:line="355" w:lineRule="auto"/>
      </w:pPr>
      <w:r>
        <w:rPr>
          <w:bCs/>
        </w:rPr>
        <w:t>Деятельность в области здравоохранения (код ОКВЭД 2 – «86»)</w:t>
      </w:r>
    </w:p>
    <w:p w:rsidR="00894D5B" w:rsidRDefault="00DC1760">
      <w:pPr>
        <w:widowControl w:val="0"/>
        <w:spacing w:line="355" w:lineRule="auto"/>
      </w:pPr>
      <w:r>
        <w:t>103. По коду 570 отражаются данные по чис</w:t>
      </w:r>
      <w:r>
        <w:t xml:space="preserve">лу коек во введенных больничных организациях, предназначенных для медицинского обслуживания </w:t>
      </w:r>
      <w:r>
        <w:lastRenderedPageBreak/>
        <w:t xml:space="preserve">госпитализированных больных. К ним относятся профильные </w:t>
      </w:r>
      <w:r>
        <w:rPr>
          <w:rFonts w:eastAsia="Calibri"/>
          <w:lang w:eastAsia="en-US"/>
        </w:rPr>
        <w:br w:type="textWrapping" w:clear="all"/>
      </w:r>
      <w:r>
        <w:t>и многопрофильные больницы (включая госпитали, родильные дома, лепрозории, хосписы), стационары поликлиник,</w:t>
      </w:r>
      <w:r>
        <w:t xml:space="preserve"> диспансеров, медицинских научно-исследовательских институтов, медсанчастей и фельдшерско-акушерских пунктов и другие организации, имеющие больничные койки.</w:t>
      </w:r>
    </w:p>
    <w:p w:rsidR="00894D5B" w:rsidRDefault="00DC1760">
      <w:pPr>
        <w:widowControl w:val="0"/>
        <w:spacing w:line="355" w:lineRule="auto"/>
      </w:pPr>
      <w:r>
        <w:t>Из общего итога по вводу мощностей больничных организаций выделяются данные:</w:t>
      </w:r>
    </w:p>
    <w:p w:rsidR="00894D5B" w:rsidRDefault="00DC1760">
      <w:pPr>
        <w:widowControl w:val="0"/>
        <w:spacing w:line="355" w:lineRule="auto"/>
      </w:pPr>
      <w:r>
        <w:t>по детским больницам –</w:t>
      </w:r>
      <w:r>
        <w:t xml:space="preserve"> о вводе в действие самостоятельных детских больниц, детских отделений (палат) в составе общих и специализированных больниц (код 577);</w:t>
      </w:r>
    </w:p>
    <w:p w:rsidR="00894D5B" w:rsidRDefault="00DC1760">
      <w:pPr>
        <w:widowControl w:val="0"/>
        <w:spacing w:line="355" w:lineRule="auto"/>
      </w:pPr>
      <w:r>
        <w:t>по родильным домам – о вводе в действие самостоятельных родильных домов, родильных отделений (палат) при больницах, отдел</w:t>
      </w:r>
      <w:r>
        <w:t>ений патологии беременности в больницах (код 580);</w:t>
      </w:r>
    </w:p>
    <w:p w:rsidR="00894D5B" w:rsidRDefault="00DC1760">
      <w:pPr>
        <w:spacing w:line="355" w:lineRule="auto"/>
      </w:pPr>
      <w:r>
        <w:t>по перинатальным центрам (код 574).</w:t>
      </w:r>
    </w:p>
    <w:p w:rsidR="00894D5B" w:rsidRDefault="00DC1760">
      <w:pPr>
        <w:spacing w:line="355" w:lineRule="auto"/>
      </w:pPr>
      <w:r>
        <w:t xml:space="preserve">Указанные детские отделения (палаты), родильные отделения (палаты), отделения патологии беременности в больницах отражаются независимо </w:t>
      </w:r>
      <w:r>
        <w:rPr>
          <w:rFonts w:eastAsia="Calibri"/>
          <w:lang w:eastAsia="en-US"/>
        </w:rPr>
        <w:br w:type="textWrapping" w:clear="all"/>
      </w:r>
      <w:r>
        <w:t>от того, размещаются ли они в отд</w:t>
      </w:r>
      <w:r>
        <w:t xml:space="preserve">ельных корпусах или находятся в общих </w:t>
      </w:r>
      <w:r>
        <w:rPr>
          <w:rFonts w:eastAsia="Calibri"/>
          <w:lang w:eastAsia="en-US"/>
        </w:rPr>
        <w:br w:type="textWrapping" w:clear="all"/>
      </w:r>
      <w:r>
        <w:t>с отделениями других специальностей зданиях;</w:t>
      </w:r>
    </w:p>
    <w:p w:rsidR="00894D5B" w:rsidRDefault="00DC1760">
      <w:pPr>
        <w:spacing w:line="355" w:lineRule="auto"/>
        <w:ind w:firstLine="708"/>
      </w:pPr>
      <w:r>
        <w:t>Из общего итога по больничным организациям (код 570) выделяются данные по мощностям, введенным в сельской местности по коду 576.</w:t>
      </w:r>
    </w:p>
    <w:p w:rsidR="00894D5B" w:rsidRDefault="00DC1760">
      <w:pPr>
        <w:spacing w:line="355" w:lineRule="auto"/>
      </w:pPr>
      <w:r>
        <w:t xml:space="preserve">Из кода 576 выделяются данные по введенным </w:t>
      </w:r>
      <w:r>
        <w:t>в сельской местности больничным  организациям с материалом стен из дерева и отражаются по коду 1576 – «коек» и по коду 1577 – «кв. м».</w:t>
      </w:r>
    </w:p>
    <w:p w:rsidR="00894D5B" w:rsidRDefault="00DC1760">
      <w:pPr>
        <w:spacing w:line="355" w:lineRule="auto"/>
      </w:pPr>
      <w:r>
        <w:t>По коду 572 отражается число посещений в смену во введенных амбулаторно-поликлинических организациях, предназначенных для</w:t>
      </w:r>
      <w:r>
        <w:t xml:space="preserve"> оказания лечебно-профилактической помощи населению при посещении ими этих организаций и на дому. К ним относятся поликлиники, поликлинические отделения при больничных организациях, амбулатории, диспансеры, медсанчасти, самостоятельные здравпункты, фельдше</w:t>
      </w:r>
      <w:r>
        <w:t>рско-акушерские пункты, женские и детские консультации.</w:t>
      </w:r>
    </w:p>
    <w:p w:rsidR="00894D5B" w:rsidRDefault="00DC1760">
      <w:pPr>
        <w:spacing w:line="355" w:lineRule="auto"/>
      </w:pPr>
      <w:r>
        <w:t xml:space="preserve">Из  общего  итога  по  вводу  амбулаторно-поликлинических  организаций </w:t>
      </w:r>
    </w:p>
    <w:p w:rsidR="00894D5B" w:rsidRDefault="00DC1760">
      <w:pPr>
        <w:spacing w:line="355" w:lineRule="auto"/>
        <w:ind w:firstLine="0"/>
      </w:pPr>
      <w:r>
        <w:lastRenderedPageBreak/>
        <w:t>(код 572) выделяются данные:</w:t>
      </w:r>
    </w:p>
    <w:p w:rsidR="00894D5B" w:rsidRDefault="00DC1760">
      <w:pPr>
        <w:widowControl w:val="0"/>
        <w:spacing w:line="355" w:lineRule="auto"/>
      </w:pPr>
      <w:r>
        <w:t xml:space="preserve"> по детским поликлиникам – о вводе в действие самостоятельных детских амбулаторно-поликлинических организаций, детских поликлинических отделений (кабинетов) при общих поликлиниках и при всех типах больниц </w:t>
      </w:r>
      <w:r>
        <w:rPr>
          <w:rFonts w:eastAsia="Calibri"/>
          <w:lang w:eastAsia="en-US"/>
        </w:rPr>
        <w:br w:type="textWrapping" w:clear="all"/>
      </w:r>
      <w:r>
        <w:t>(код 584);</w:t>
      </w:r>
    </w:p>
    <w:p w:rsidR="00894D5B" w:rsidRDefault="00DC1760">
      <w:pPr>
        <w:widowControl w:val="0"/>
        <w:spacing w:line="355" w:lineRule="auto"/>
      </w:pPr>
      <w:r>
        <w:t>по женским консультациям – о вводе в де</w:t>
      </w:r>
      <w:r>
        <w:t>йствие самостоятельных женских консультаций, а также женских консультаций, входящих в состав общих поликлиник (поликлинических отделений), родильных домов и больниц (код 586);</w:t>
      </w:r>
    </w:p>
    <w:p w:rsidR="00894D5B" w:rsidRDefault="00DC1760">
      <w:pPr>
        <w:spacing w:line="355" w:lineRule="auto"/>
      </w:pPr>
      <w:r>
        <w:t xml:space="preserve">по фельдшерско-акушерским пунктам в населенных пунктах </w:t>
      </w:r>
      <w:r>
        <w:br w:type="textWrapping" w:clear="all"/>
      </w:r>
      <w:r>
        <w:t>с численностью от 100 че</w:t>
      </w:r>
      <w:r>
        <w:t>ловек до 2 тыс. человек (код 575);</w:t>
      </w:r>
    </w:p>
    <w:p w:rsidR="00894D5B" w:rsidRDefault="00DC1760">
      <w:pPr>
        <w:spacing w:line="355" w:lineRule="auto"/>
      </w:pPr>
      <w:r>
        <w:t xml:space="preserve">по врачебным амбулаториям в населенных пунктах с численностью </w:t>
      </w:r>
      <w:r>
        <w:rPr>
          <w:rFonts w:eastAsia="Calibri"/>
          <w:lang w:eastAsia="en-US"/>
        </w:rPr>
        <w:br w:type="textWrapping" w:clear="all"/>
      </w:r>
      <w:r>
        <w:t>от 100 человек до 2 тыс. человек (код 579);</w:t>
      </w:r>
    </w:p>
    <w:p w:rsidR="00894D5B" w:rsidRDefault="00DC1760">
      <w:pPr>
        <w:spacing w:line="355" w:lineRule="auto"/>
      </w:pPr>
      <w:r>
        <w:t xml:space="preserve">по амбулаторно-поликлиническим организациям в сельской местности </w:t>
      </w:r>
      <w:r>
        <w:br w:type="textWrapping" w:clear="all"/>
      </w:r>
      <w:r>
        <w:t>(код 578).</w:t>
      </w:r>
    </w:p>
    <w:p w:rsidR="00894D5B" w:rsidRDefault="00DC1760">
      <w:pPr>
        <w:spacing w:line="355" w:lineRule="auto"/>
      </w:pPr>
      <w:r>
        <w:t>Из данных по коду 578 отражается ввод</w:t>
      </w:r>
      <w:r>
        <w:t xml:space="preserve"> амбулаторно-поликлинических организаций в сельской местности, из них с материалом стен из дерева по коду 1578 – «посещений в смену» и по коду 1579 – «кв. м».</w:t>
      </w:r>
    </w:p>
    <w:p w:rsidR="00894D5B" w:rsidRDefault="00DC1760">
      <w:pPr>
        <w:spacing w:line="355" w:lineRule="auto"/>
        <w:ind w:firstLine="708"/>
      </w:pPr>
      <w:r>
        <w:t>В случае если число посещений в смену в амбулаторно-поликлинической организации не определено в п</w:t>
      </w:r>
      <w:r>
        <w:t xml:space="preserve">роектно-сметной документации, </w:t>
      </w:r>
      <w:r>
        <w:rPr>
          <w:rFonts w:eastAsia="Calibri"/>
          <w:lang w:eastAsia="en-US"/>
        </w:rPr>
        <w:br w:type="textWrapping" w:clear="all"/>
      </w:r>
      <w:r>
        <w:t xml:space="preserve">оно определяется как частное от деления фактически занимаемой площади </w:t>
      </w:r>
      <w:r>
        <w:rPr>
          <w:rFonts w:eastAsia="Calibri"/>
          <w:lang w:eastAsia="en-US"/>
        </w:rPr>
        <w:br w:type="textWrapping" w:clear="all"/>
      </w:r>
      <w:r>
        <w:t xml:space="preserve">на нормативный показатель площади. </w:t>
      </w:r>
    </w:p>
    <w:p w:rsidR="00894D5B" w:rsidRDefault="00DC1760">
      <w:pPr>
        <w:spacing w:line="355" w:lineRule="auto"/>
        <w:ind w:firstLine="708"/>
      </w:pPr>
      <w:r>
        <w:t>Ввод санэпидемстанций, станций переливания крови, карантинных станций и других медицинских организаций, не связанных с</w:t>
      </w:r>
      <w:r>
        <w:t xml:space="preserve"> оказанием непосредственной лечебной помощи населению, по больничным </w:t>
      </w:r>
      <w:r>
        <w:br/>
        <w:t>и амбулаторно-поликлиническим организациям не отражается.</w:t>
      </w:r>
    </w:p>
    <w:p w:rsidR="00894D5B" w:rsidRDefault="00DC1760">
      <w:pPr>
        <w:widowControl w:val="0"/>
        <w:spacing w:line="355" w:lineRule="auto"/>
      </w:pPr>
      <w:r>
        <w:t xml:space="preserve">104. По коду 595 отражаются специализированные стационарные медицинские организации, предназначенные для профилактического </w:t>
      </w:r>
      <w:r>
        <w:br w:type="textWrapping" w:clear="all"/>
      </w:r>
      <w:r>
        <w:t>и во</w:t>
      </w:r>
      <w:r>
        <w:t xml:space="preserve">сстановительного лечения населения, основанного на применении, главным образом, природных лечебных факторов (климата, минеральных вод, лечебных грязей и других). К ним относятся санатории, санатории-профилактории, </w:t>
      </w:r>
      <w:r>
        <w:lastRenderedPageBreak/>
        <w:t>пансионаты с лечением, бальнеологические л</w:t>
      </w:r>
      <w:r>
        <w:t xml:space="preserve">ечебницы, детские санаторно-оздоровительные лагеря круглогодичного действия, лечебно-профилактические организации, оснащенные койками, действующие при организациях, обеспечивающие лечебно-оздоровительные мероприятия работникам </w:t>
      </w:r>
      <w:r>
        <w:rPr>
          <w:rFonts w:eastAsia="Calibri"/>
          <w:lang w:eastAsia="en-US"/>
        </w:rPr>
        <w:br w:type="textWrapping" w:clear="all"/>
      </w:r>
      <w:r>
        <w:t xml:space="preserve">без отрыва от производства, </w:t>
      </w:r>
      <w:r>
        <w:t>в свободное от работы время.</w:t>
      </w:r>
    </w:p>
    <w:p w:rsidR="00894D5B" w:rsidRDefault="00DC1760">
      <w:pPr>
        <w:spacing w:line="355" w:lineRule="auto"/>
      </w:pPr>
      <w:r>
        <w:t>Из общего итога выделяются данные по вводу санаториев с материалом стен из дерева по коду 1595 – «коек» и по коду 1596 – «кв. м».</w:t>
      </w:r>
    </w:p>
    <w:p w:rsidR="00894D5B" w:rsidRDefault="00DC1760">
      <w:pPr>
        <w:spacing w:line="355" w:lineRule="auto"/>
      </w:pPr>
      <w:r>
        <w:t xml:space="preserve">Деятельность по уходу с обеспечением проживания </w:t>
      </w:r>
      <w:r>
        <w:br w:type="textWrapping" w:clear="all"/>
      </w:r>
      <w:r>
        <w:rPr>
          <w:bCs/>
        </w:rPr>
        <w:t>(код ОКВЭД 2 – «87»)</w:t>
      </w:r>
    </w:p>
    <w:p w:rsidR="00894D5B" w:rsidRDefault="00DC1760">
      <w:pPr>
        <w:widowControl w:val="0"/>
        <w:spacing w:line="355" w:lineRule="auto"/>
      </w:pPr>
      <w:r>
        <w:t>105. По домам для престарел</w:t>
      </w:r>
      <w:r>
        <w:t xml:space="preserve">ых, инвалидов (взрослых и детей) по коду 660 отражается ввод медико-социальных организаций, предназначенных </w:t>
      </w:r>
      <w:r>
        <w:br w:type="textWrapping" w:clear="all"/>
      </w:r>
      <w:r>
        <w:t>для постоянного проживания престарелых и инвалидов, нуждающихся в уходе, бытовом и медицинском обслуживании. К ним относятся дома-интернаты (общего</w:t>
      </w:r>
      <w:r>
        <w:t xml:space="preserve"> типа) для престарелых и инвалидов, психоневрологические интернаты, специализированные дома – интернаты для престарелых и инвалидов, детские дома-интернаты для детей с физическими недостатками, для умственно отсталых детей и другие.</w:t>
      </w:r>
    </w:p>
    <w:p w:rsidR="00894D5B" w:rsidRDefault="00DC1760">
      <w:pPr>
        <w:widowControl w:val="0"/>
        <w:spacing w:line="355" w:lineRule="auto"/>
      </w:pPr>
      <w:r>
        <w:t>Дома-интернаты для вете</w:t>
      </w:r>
      <w:r>
        <w:t xml:space="preserve">ранов труда отражаются по коду 661 </w:t>
      </w:r>
      <w:r>
        <w:br w:type="textWrapping" w:clear="all"/>
      </w:r>
      <w:r>
        <w:t xml:space="preserve">и не включаются в код 660. </w:t>
      </w:r>
    </w:p>
    <w:p w:rsidR="00894D5B" w:rsidRDefault="00DC1760">
      <w:pPr>
        <w:widowControl w:val="0"/>
        <w:spacing w:line="355" w:lineRule="auto"/>
      </w:pPr>
      <w:r>
        <w:t>По кодам 660 и 661 учитывается количество мест, введенных в указанных организациях.</w:t>
      </w:r>
    </w:p>
    <w:p w:rsidR="00894D5B" w:rsidRDefault="00DC1760">
      <w:pPr>
        <w:spacing w:line="355" w:lineRule="auto"/>
      </w:pPr>
      <w:r>
        <w:t xml:space="preserve">Деятельность творческая, деятельность в области искусства </w:t>
      </w:r>
      <w:r>
        <w:br w:type="textWrapping" w:clear="all"/>
      </w:r>
      <w:r>
        <w:t xml:space="preserve">и организации развлечений </w:t>
      </w:r>
      <w:r>
        <w:rPr>
          <w:bCs/>
        </w:rPr>
        <w:t>(код ОКВЭД 2 – «90»)</w:t>
      </w:r>
    </w:p>
    <w:p w:rsidR="00894D5B" w:rsidRDefault="00DC1760">
      <w:pPr>
        <w:widowControl w:val="0"/>
        <w:spacing w:line="355" w:lineRule="auto"/>
      </w:pPr>
      <w:r>
        <w:t>10</w:t>
      </w:r>
      <w:r>
        <w:t xml:space="preserve">6. По учреждениям культуры клубного типа по коду 929 отражается ввод культурно-просветительских учреждений, предназначенных </w:t>
      </w:r>
      <w:r>
        <w:rPr>
          <w:rFonts w:eastAsia="Calibri"/>
          <w:lang w:eastAsia="en-US"/>
        </w:rPr>
        <w:br w:type="textWrapping" w:clear="all"/>
      </w:r>
      <w:r>
        <w:t>для организации досуга населения, деятельности коллективов самодеятельного народного творчества – клубов, домов культуры, домов тво</w:t>
      </w:r>
      <w:r>
        <w:t>рческих работников.</w:t>
      </w:r>
    </w:p>
    <w:p w:rsidR="00894D5B" w:rsidRDefault="00DC1760">
      <w:pPr>
        <w:widowControl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общего итога выделяются данные по вводу учреждений культуры клубного типа в сельской местности (код 930). Из них </w:t>
      </w:r>
      <w:r>
        <w:t>–</w:t>
      </w:r>
      <w:r>
        <w:rPr>
          <w:rFonts w:eastAsia="Calibri"/>
          <w:lang w:eastAsia="en-US"/>
        </w:rPr>
        <w:t xml:space="preserve"> учреждения культуры клубного типа в сельской местности с материалом стен из дерева по коду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2930 </w:t>
      </w:r>
      <w:r>
        <w:t>–</w:t>
      </w:r>
      <w:r>
        <w:rPr>
          <w:rFonts w:eastAsia="Calibri"/>
          <w:lang w:eastAsia="en-US"/>
        </w:rPr>
        <w:t xml:space="preserve"> «мест» и по коду 29</w:t>
      </w:r>
      <w:r>
        <w:rPr>
          <w:rFonts w:eastAsia="Calibri"/>
          <w:lang w:eastAsia="en-US"/>
        </w:rPr>
        <w:t xml:space="preserve">31 </w:t>
      </w:r>
      <w:r>
        <w:t>–</w:t>
      </w:r>
      <w:r>
        <w:rPr>
          <w:rFonts w:eastAsia="Calibri"/>
          <w:lang w:eastAsia="en-US"/>
        </w:rPr>
        <w:t xml:space="preserve"> «кв. м».</w:t>
      </w:r>
    </w:p>
    <w:p w:rsidR="00894D5B" w:rsidRDefault="00DC1760">
      <w:pPr>
        <w:widowControl w:val="0"/>
        <w:spacing w:line="360" w:lineRule="auto"/>
      </w:pPr>
      <w:r>
        <w:lastRenderedPageBreak/>
        <w:t xml:space="preserve">Деятельность в области спорта, отдыха и развлечений </w:t>
      </w:r>
      <w:r>
        <w:br w:type="textWrapping" w:clear="all"/>
      </w:r>
      <w:r>
        <w:rPr>
          <w:bCs/>
        </w:rPr>
        <w:t>(код ОКВЭД 2 – «93»)</w:t>
      </w:r>
    </w:p>
    <w:p w:rsidR="00894D5B" w:rsidRDefault="00DC1760">
      <w:pPr>
        <w:widowControl w:val="0"/>
        <w:spacing w:line="360" w:lineRule="auto"/>
      </w:pPr>
      <w:r>
        <w:t>107. По</w:t>
      </w:r>
      <w:r>
        <w:rPr>
          <w:b/>
        </w:rPr>
        <w:t xml:space="preserve"> </w:t>
      </w:r>
      <w:r>
        <w:t>плавательным бассейнам (с длиной дорожек 25 м и 50 м)</w:t>
      </w:r>
      <w:r>
        <w:rPr>
          <w:b/>
        </w:rPr>
        <w:t xml:space="preserve"> </w:t>
      </w:r>
      <w:r>
        <w:rPr>
          <w:b/>
        </w:rPr>
        <w:br w:type="textWrapping" w:clear="all"/>
      </w:r>
      <w:r>
        <w:t>по</w:t>
      </w:r>
      <w:r>
        <w:rPr>
          <w:b/>
        </w:rPr>
        <w:t xml:space="preserve"> </w:t>
      </w:r>
      <w:r>
        <w:t>кодам 629 и 630 отражается площадь введенных крытых и открытых наливных бассейнов с подогревом воды (в</w:t>
      </w:r>
      <w:r>
        <w:t xml:space="preserve">ключая построенные при учебных заведениях, дошкольных организациях, предприятиях и других), предназначенных для круглогодичного использования. По этой строке учитывают бассейны, размещенные как в отдельно стоящих зданиях, </w:t>
      </w:r>
      <w:r>
        <w:rPr>
          <w:rFonts w:eastAsia="Calibri"/>
          <w:lang w:eastAsia="en-US"/>
        </w:rPr>
        <w:br w:type="textWrapping" w:clear="all"/>
      </w:r>
      <w:r>
        <w:t>так и во встроенных и пристроенны</w:t>
      </w:r>
      <w:r>
        <w:t xml:space="preserve">х помещениях, включая построенные </w:t>
      </w:r>
      <w:r>
        <w:br w:type="textWrapping" w:clear="all"/>
      </w:r>
      <w:r>
        <w:t>в комплексе с другими спортивными сооружениями.</w:t>
      </w:r>
    </w:p>
    <w:p w:rsidR="00894D5B" w:rsidRDefault="00DC1760">
      <w:pPr>
        <w:spacing w:line="360" w:lineRule="auto"/>
        <w:rPr>
          <w:bCs/>
        </w:rPr>
      </w:pPr>
      <w:r>
        <w:rPr>
          <w:bCs/>
        </w:rPr>
        <w:t>Плавательные бассейны в лечебных организациях не учитываются.</w:t>
      </w:r>
    </w:p>
    <w:p w:rsidR="00894D5B" w:rsidRDefault="00DC1760">
      <w:pPr>
        <w:spacing w:line="360" w:lineRule="auto"/>
        <w:rPr>
          <w:bCs/>
        </w:rPr>
      </w:pPr>
      <w:r>
        <w:rPr>
          <w:bCs/>
        </w:rPr>
        <w:t>Площадь введенных бассейнов определяется по площади зеркала воды.</w:t>
      </w:r>
    </w:p>
    <w:p w:rsidR="00894D5B" w:rsidRDefault="00DC1760">
      <w:pPr>
        <w:spacing w:line="360" w:lineRule="auto"/>
      </w:pPr>
      <w:r>
        <w:t>108. По плоскостным спортивным сооружениям</w:t>
      </w:r>
      <w:r>
        <w:rPr>
          <w:b/>
        </w:rPr>
        <w:t xml:space="preserve"> </w:t>
      </w:r>
      <w:r>
        <w:t>по</w:t>
      </w:r>
      <w:r>
        <w:rPr>
          <w:b/>
        </w:rPr>
        <w:t xml:space="preserve"> </w:t>
      </w:r>
      <w:r>
        <w:t xml:space="preserve">коду 640 отражается </w:t>
      </w:r>
      <w:r>
        <w:rPr>
          <w:spacing w:val="-12"/>
        </w:rPr>
        <w:t>ввод футбольных полей, баскетбольных, волейбольных, городошных площадок</w:t>
      </w:r>
      <w:r>
        <w:t>, теннисных кортов и других игровых площадок и полей на открытом воздухе.</w:t>
      </w:r>
    </w:p>
    <w:p w:rsidR="00894D5B" w:rsidRDefault="00DC1760">
      <w:pPr>
        <w:spacing w:line="360" w:lineRule="auto"/>
      </w:pPr>
      <w:r>
        <w:t xml:space="preserve">109. По спортивным сооружениям с искусственным льдом по кодам </w:t>
      </w:r>
      <w:r>
        <w:br w:type="textWrapping" w:clear="all"/>
      </w:r>
      <w:r>
        <w:t>643 и 644 отражается ввод</w:t>
      </w:r>
      <w:r>
        <w:rPr>
          <w:b/>
        </w:rPr>
        <w:t xml:space="preserve"> </w:t>
      </w:r>
      <w:r>
        <w:t>к</w:t>
      </w:r>
      <w:r>
        <w:t>рытых катков, конькобежных дорожек, площадок для фигурного катания, хоккейных коробок.</w:t>
      </w:r>
    </w:p>
    <w:p w:rsidR="00894D5B" w:rsidRDefault="00DC1760">
      <w:pPr>
        <w:spacing w:line="360" w:lineRule="auto"/>
      </w:pPr>
      <w:r>
        <w:t xml:space="preserve">110. По коду 649 показываются данные по вводу </w:t>
      </w:r>
      <w:r>
        <w:rPr>
          <w:bCs/>
        </w:rPr>
        <w:t>спортивных залов</w:t>
      </w:r>
      <w:r>
        <w:t xml:space="preserve">, размещенных как в отдельно стоящих зданиях, так и во встроенных </w:t>
      </w:r>
      <w:r>
        <w:br w:type="textWrapping" w:clear="all"/>
      </w:r>
      <w:r>
        <w:t xml:space="preserve">и пристроенных помещениях. По ним отражаются универсальные </w:t>
      </w:r>
      <w:r>
        <w:br w:type="textWrapping" w:clear="all"/>
      </w:r>
      <w:r>
        <w:t>и специализированные спортивные залы. К специализированным спортивным залам относятся залы для бокса, борьбы, гимнастики, тяжелой атлетики, фехтования, спортивных игр и другие.</w:t>
      </w:r>
    </w:p>
    <w:p w:rsidR="00894D5B" w:rsidRDefault="00DC1760">
      <w:pPr>
        <w:spacing w:line="360" w:lineRule="auto"/>
        <w:rPr>
          <w:shd w:val="clear" w:color="auto" w:fill="FFFFFF"/>
        </w:rPr>
      </w:pPr>
      <w:r>
        <w:t>111. По коду 650 отражается ввод в действие физкультурно-оздоровительных комплексов (ФОК), построенных как</w:t>
      </w:r>
      <w:r>
        <w:rPr>
          <w:shd w:val="clear" w:color="auto" w:fill="FFFFFF"/>
        </w:rPr>
        <w:t xml:space="preserve"> архитектурные объекты, специально предназначенные для проведения занятий, связанных с физической культурой и оздоровительными мероприятиями для укреп</w:t>
      </w:r>
      <w:r>
        <w:rPr>
          <w:shd w:val="clear" w:color="auto" w:fill="FFFFFF"/>
        </w:rPr>
        <w:t xml:space="preserve">ления здоровья </w:t>
      </w:r>
      <w:r>
        <w:rPr>
          <w:shd w:val="clear" w:color="auto" w:fill="FFFFFF"/>
        </w:rPr>
        <w:br w:type="textWrapping" w:clear="all"/>
      </w:r>
      <w:r>
        <w:rPr>
          <w:shd w:val="clear" w:color="auto" w:fill="FFFFFF"/>
        </w:rPr>
        <w:t>и развития спортивных навыков у населения. ФОК могут включать бассейны, спортивные и тренажерные залы и другие комплектации оборудования, необходимые для занятия спортом.</w:t>
      </w:r>
    </w:p>
    <w:p w:rsidR="00894D5B" w:rsidRDefault="00DC1760">
      <w:pPr>
        <w:widowControl w:val="0"/>
        <w:spacing w:line="360" w:lineRule="auto"/>
      </w:pPr>
      <w:r>
        <w:lastRenderedPageBreak/>
        <w:t xml:space="preserve">Из общего итога выделяются данные по вводу ФОК с материалом стен </w:t>
      </w:r>
      <w:r>
        <w:rPr>
          <w:rFonts w:eastAsia="Calibri"/>
          <w:lang w:eastAsia="en-US"/>
        </w:rPr>
        <w:br w:type="textWrapping" w:clear="all"/>
      </w:r>
      <w:r>
        <w:t xml:space="preserve">из </w:t>
      </w:r>
      <w:r>
        <w:t>дерева по коду 2650 – «единиц» и по коду 2651 – «кв. м».</w:t>
      </w:r>
    </w:p>
    <w:p w:rsidR="00894D5B" w:rsidRDefault="00DC1760">
      <w:pPr>
        <w:widowControl w:val="0"/>
        <w:spacing w:line="360" w:lineRule="auto"/>
      </w:pPr>
      <w:r>
        <w:t xml:space="preserve">112. По коду 651 отражается ввод </w:t>
      </w:r>
      <w:r>
        <w:rPr>
          <w:bCs/>
        </w:rPr>
        <w:t>горнолыжных трасс</w:t>
      </w:r>
      <w:r>
        <w:t xml:space="preserve"> для альпийских лыж, сноуборда и лыжни для бега независимо от уровня их сложности, </w:t>
      </w:r>
      <w:r>
        <w:br w:type="textWrapping" w:clear="all"/>
      </w:r>
      <w:r>
        <w:t xml:space="preserve">по коду 652 – </w:t>
      </w:r>
      <w:r>
        <w:rPr>
          <w:bCs/>
        </w:rPr>
        <w:t>санно-бобслейных трасс</w:t>
      </w:r>
      <w:r>
        <w:t>.</w:t>
      </w:r>
    </w:p>
    <w:p w:rsidR="00894D5B" w:rsidRDefault="00DC1760">
      <w:pPr>
        <w:widowControl w:val="0"/>
        <w:spacing w:line="360" w:lineRule="auto"/>
      </w:pPr>
      <w:r>
        <w:t>113. Лыжероллерная трасса (</w:t>
      </w:r>
      <w:r>
        <w:t>код 653) – закольцованная (замкнутая) асфальтированная дорога с ровным покрытием и контруклонами, предназначенная для проведения тренировок и соревнований по лыжным гонкам, гонкам на роликовых коньках, лыжероллерах.</w:t>
      </w:r>
    </w:p>
    <w:p w:rsidR="00894D5B" w:rsidRDefault="00DC1760">
      <w:pPr>
        <w:spacing w:line="360" w:lineRule="auto"/>
      </w:pPr>
      <w:r>
        <w:t>114. По коду 131 отражается ввод горнолы</w:t>
      </w:r>
      <w:r>
        <w:t>жных подъемников независимо от типа механического устройства: подъемные механизмы воздушного типа (подъемники кресельного, гондольного типа) и подъемные механизмы наземного типа (бугельный подъемник, ленточный вид горнолыжного устройства или гибкая движуща</w:t>
      </w:r>
      <w:r>
        <w:t>яся дорожка).</w:t>
      </w:r>
    </w:p>
    <w:p w:rsidR="00894D5B" w:rsidRDefault="00DC1760">
      <w:pPr>
        <w:spacing w:line="360" w:lineRule="auto"/>
      </w:pPr>
      <w:r>
        <w:t>115. По коду 122 отражается ввод</w:t>
      </w:r>
      <w:r>
        <w:rPr>
          <w:b/>
        </w:rPr>
        <w:t xml:space="preserve"> </w:t>
      </w:r>
      <w:r>
        <w:t>аквапарков закрытого типа – развлекательных комплексов, в которых имеется инфраструктура для занятий играми на воде и водные аттракционы, также могут иметь термальную зону, отведенную для бань или саун, бассей</w:t>
      </w:r>
      <w:r>
        <w:t>нов с термальной водой.</w:t>
      </w:r>
    </w:p>
    <w:p w:rsidR="00894D5B" w:rsidRDefault="00DC1760">
      <w:pPr>
        <w:spacing w:line="360" w:lineRule="auto"/>
        <w:rPr>
          <w:bCs/>
        </w:rPr>
      </w:pPr>
      <w:r>
        <w:rPr>
          <w:bCs/>
        </w:rPr>
        <w:t>Деятельность общественных организаций (код ОКВЭД 2 – «94»)</w:t>
      </w:r>
    </w:p>
    <w:p w:rsidR="00894D5B" w:rsidRDefault="00DC1760">
      <w:pPr>
        <w:spacing w:line="360" w:lineRule="auto"/>
      </w:pPr>
      <w:r>
        <w:t>116. По коду 945 отражаются</w:t>
      </w:r>
      <w:r>
        <w:rPr>
          <w:b/>
          <w:bCs/>
        </w:rPr>
        <w:t xml:space="preserve"> </w:t>
      </w:r>
      <w:r>
        <w:rPr>
          <w:bCs/>
        </w:rPr>
        <w:t xml:space="preserve">культовые </w:t>
      </w:r>
      <w:r>
        <w:t>здания, строения, сооружения – церкви, храмы, часовни, колокольни, крестильни, мечети, синагоги, костелы, кирхи, молитвенные дома и том</w:t>
      </w:r>
      <w:r>
        <w:t>у подобные строения.</w:t>
      </w:r>
    </w:p>
    <w:p w:rsidR="00894D5B" w:rsidRDefault="00DC1760">
      <w:pPr>
        <w:spacing w:line="360" w:lineRule="auto"/>
        <w:ind w:firstLine="708"/>
        <w:rPr>
          <w:bCs/>
        </w:rPr>
      </w:pPr>
      <w:r>
        <w:rPr>
          <w:bCs/>
        </w:rPr>
        <w:t>Ремонт компьютеров, предметов личного потребления и хозяйственно бытового назначения (код ОКВЭД 2 – «95»)</w:t>
      </w:r>
    </w:p>
    <w:p w:rsidR="00894D5B" w:rsidRDefault="00DC1760">
      <w:pPr>
        <w:spacing w:line="360" w:lineRule="auto"/>
        <w:rPr>
          <w:bCs/>
        </w:rPr>
      </w:pPr>
      <w:r>
        <w:t>117. По коду 961 отражаются данные по вводу в действие как отдельно стоящих зданий, так и встроенных, пристроенных помещений комб</w:t>
      </w:r>
      <w:r>
        <w:t>инатов (предприятий) бытового обслуживания населения и домов быта.</w:t>
      </w:r>
    </w:p>
    <w:p w:rsidR="00894D5B" w:rsidRDefault="00DC1760">
      <w:pPr>
        <w:widowControl w:val="0"/>
        <w:spacing w:line="336" w:lineRule="auto"/>
      </w:pPr>
      <w:r>
        <w:t>Объектом бытового обслуживания населения является специально оснащенное помещение либо его часть, которое предназначено для оказания бытовых услуг населению.</w:t>
      </w:r>
      <w:r>
        <w:rPr>
          <w:shd w:val="clear" w:color="auto" w:fill="FFFFFF"/>
        </w:rPr>
        <w:t xml:space="preserve"> </w:t>
      </w:r>
      <w:r>
        <w:t>Часто подобным объектом выступа</w:t>
      </w:r>
      <w:r>
        <w:t>ют: цех, ателье, мастерская, фотосалон, пункт приема.</w:t>
      </w:r>
      <w:r>
        <w:rPr>
          <w:shd w:val="clear" w:color="auto" w:fill="FFFFFF"/>
        </w:rPr>
        <w:t xml:space="preserve"> Предприятие бытового обслуживания </w:t>
      </w:r>
      <w:r>
        <w:rPr>
          <w:shd w:val="clear" w:color="auto" w:fill="FFFFFF"/>
        </w:rPr>
        <w:lastRenderedPageBreak/>
        <w:t>населения может объединять парикмахерскую, сапожную мастерскую, химчистку и тому подобные.</w:t>
      </w:r>
    </w:p>
    <w:p w:rsidR="00894D5B" w:rsidRDefault="00DC1760">
      <w:pPr>
        <w:spacing w:line="336" w:lineRule="auto"/>
        <w:rPr>
          <w:rFonts w:eastAsia="Calibri"/>
          <w:lang w:eastAsia="en-US"/>
        </w:rPr>
      </w:pPr>
      <w:r>
        <w:rPr>
          <w:bCs/>
        </w:rPr>
        <w:t xml:space="preserve">Деятельность по предоставлению прочих персональных услуг </w:t>
      </w:r>
      <w:r>
        <w:br w:type="textWrapping" w:clear="all"/>
      </w:r>
      <w:r>
        <w:rPr>
          <w:bCs/>
        </w:rPr>
        <w:t>(код ОКВЭД 2 – «96»</w:t>
      </w:r>
      <w:r>
        <w:rPr>
          <w:bCs/>
        </w:rPr>
        <w:t>)</w:t>
      </w:r>
    </w:p>
    <w:p w:rsidR="00894D5B" w:rsidRDefault="00DC1760">
      <w:pPr>
        <w:widowControl w:val="0"/>
        <w:spacing w:after="240" w:line="336" w:lineRule="auto"/>
        <w:rPr>
          <w:rFonts w:eastAsia="Calibri"/>
          <w:lang w:eastAsia="en-US"/>
        </w:rPr>
      </w:pPr>
      <w:r>
        <w:t xml:space="preserve">118. По коду 125 отражается количество введенных салонов красоты (парикмахерских) – предприятий, занимающихся предоставлением услуг </w:t>
      </w:r>
      <w:r>
        <w:br w:type="textWrapping" w:clear="all"/>
      </w:r>
      <w:r>
        <w:t xml:space="preserve">для населения по уходу за волосами в оборудованном специально для этого </w:t>
      </w:r>
      <w:r>
        <w:br w:type="textWrapping" w:clear="all"/>
      </w:r>
      <w:r>
        <w:t>помещении, а также оказывающих сопутствующие усл</w:t>
      </w:r>
      <w:r>
        <w:t>уги (маникюр, педикюр, косметические услуги).</w:t>
      </w:r>
    </w:p>
    <w:p w:rsidR="00894D5B" w:rsidRDefault="00DC1760">
      <w:pPr>
        <w:widowControl w:val="0"/>
        <w:ind w:firstLine="0"/>
        <w:jc w:val="center"/>
        <w:rPr>
          <w:b/>
        </w:rPr>
      </w:pPr>
      <w:r>
        <w:rPr>
          <w:b/>
        </w:rPr>
        <w:t xml:space="preserve">2.3. Заполнение </w:t>
      </w:r>
      <w:hyperlink w:anchor="P82" w:tooltip="#P82" w:history="1">
        <w:r>
          <w:rPr>
            <w:b/>
          </w:rPr>
          <w:t>раздела</w:t>
        </w:r>
      </w:hyperlink>
      <w:r>
        <w:rPr>
          <w:b/>
        </w:rPr>
        <w:t xml:space="preserve"> 3 «Жилые единицы во введенных жилых</w:t>
      </w:r>
    </w:p>
    <w:p w:rsidR="00894D5B" w:rsidRDefault="00DC1760">
      <w:pPr>
        <w:widowControl w:val="0"/>
        <w:ind w:firstLine="0"/>
        <w:jc w:val="center"/>
        <w:rPr>
          <w:b/>
        </w:rPr>
      </w:pPr>
      <w:r>
        <w:rPr>
          <w:b/>
        </w:rPr>
        <w:t>и нежилых зданиях, единица»</w:t>
      </w:r>
    </w:p>
    <w:p w:rsidR="00894D5B" w:rsidRDefault="00894D5B">
      <w:pPr>
        <w:widowControl w:val="0"/>
        <w:ind w:firstLine="0"/>
        <w:jc w:val="center"/>
        <w:rPr>
          <w:b/>
        </w:rPr>
      </w:pPr>
    </w:p>
    <w:p w:rsidR="00894D5B" w:rsidRDefault="00DC1760">
      <w:pPr>
        <w:widowControl w:val="0"/>
        <w:spacing w:line="343" w:lineRule="auto"/>
      </w:pPr>
      <w:r>
        <w:t xml:space="preserve">119. В разделе 3 отражается количество квартир во введенных жилых </w:t>
      </w:r>
      <w:r>
        <w:br w:type="textWrapping" w:clear="all"/>
      </w:r>
      <w:r>
        <w:t>и нежилых зданиях, се</w:t>
      </w:r>
      <w:r>
        <w:t>кциях, блоках, которое определяется при заполнении формы, также включая квартиры в одноквартирных жилых домах. По домам,</w:t>
      </w:r>
      <w:r>
        <w:rPr>
          <w:bCs/>
        </w:rPr>
        <w:t xml:space="preserve"> </w:t>
      </w:r>
      <w:r>
        <w:t>предназначенным для проживания одной семьи, отражается одна квартира. Когда пристройка (надстройка) представляет собой отдельную кварти</w:t>
      </w:r>
      <w:r>
        <w:t xml:space="preserve">ру, </w:t>
      </w:r>
      <w:r>
        <w:br w:type="textWrapping" w:clear="all"/>
      </w:r>
      <w:r>
        <w:t>то она также включается в число квартир.</w:t>
      </w:r>
    </w:p>
    <w:p w:rsidR="00894D5B" w:rsidRDefault="00DC1760">
      <w:pPr>
        <w:widowControl w:val="0"/>
        <w:spacing w:line="343" w:lineRule="auto"/>
      </w:pPr>
      <w:r>
        <w:t>В жилых домах гостиничного типа число квартир определяется по числу изолированных комнат, имеющих отдельный выход в коридор.</w:t>
      </w:r>
    </w:p>
    <w:p w:rsidR="00894D5B" w:rsidRDefault="00DC1760">
      <w:pPr>
        <w:widowControl w:val="0"/>
        <w:spacing w:line="343" w:lineRule="auto"/>
      </w:pPr>
      <w:r>
        <w:t>Количество квартир в общежитиях, домах для инвалидов и престарелых,</w:t>
      </w:r>
      <w:r>
        <w:t xml:space="preserve"> площадь которых отражена по коду 507, не заполняется.</w:t>
      </w:r>
    </w:p>
    <w:p w:rsidR="00894D5B" w:rsidRDefault="00DC1760">
      <w:pPr>
        <w:widowControl w:val="0"/>
        <w:spacing w:line="343" w:lineRule="auto"/>
      </w:pPr>
      <w:r>
        <w:rPr>
          <w:shd w:val="clear" w:color="auto" w:fill="FFFFFF"/>
        </w:rPr>
        <w:t>Квартира-студия</w:t>
      </w:r>
      <w:r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</w:rPr>
        <w:t>– тип квартиры, основным отличием которого является отсутствие внутренних перегородок, то есть квартира, в которой внутреннее пространство не имеет стен между помещениями различного наз</w:t>
      </w:r>
      <w:r>
        <w:rPr>
          <w:shd w:val="clear" w:color="auto" w:fill="FFFFFF"/>
        </w:rPr>
        <w:t xml:space="preserve">начения. </w:t>
      </w:r>
    </w:p>
    <w:p w:rsidR="00894D5B" w:rsidRDefault="00DC1760">
      <w:pPr>
        <w:spacing w:line="343" w:lineRule="auto"/>
      </w:pPr>
      <w:r>
        <w:t xml:space="preserve">120. По графе 4 отражается количество квартир, построенных </w:t>
      </w:r>
      <w:r>
        <w:br w:type="textWrapping" w:clear="all"/>
      </w:r>
      <w:r>
        <w:t>в нежилых зданиях, площадь которых отражена по строке 15.</w:t>
      </w:r>
    </w:p>
    <w:p w:rsidR="00894D5B" w:rsidRDefault="00DC1760">
      <w:pPr>
        <w:widowControl w:val="0"/>
        <w:ind w:firstLine="0"/>
        <w:jc w:val="center"/>
        <w:rPr>
          <w:b/>
        </w:rPr>
      </w:pPr>
      <w:r>
        <w:rPr>
          <w:b/>
        </w:rPr>
        <w:t xml:space="preserve">2.4. Заполнение </w:t>
      </w:r>
      <w:hyperlink w:anchor="P82" w:tooltip="#P82" w:history="1">
        <w:r>
          <w:rPr>
            <w:b/>
          </w:rPr>
          <w:t>раздела</w:t>
        </w:r>
      </w:hyperlink>
      <w:r>
        <w:rPr>
          <w:b/>
        </w:rPr>
        <w:t xml:space="preserve"> 4 «Распределение введенных жилых зданий</w:t>
      </w:r>
      <w:r>
        <w:rPr>
          <w:b/>
        </w:rPr>
        <w:br w:type="textWrapping" w:clear="all"/>
      </w:r>
      <w:r>
        <w:rPr>
          <w:b/>
        </w:rPr>
        <w:t>по материалам стен и этажности»</w:t>
      </w:r>
    </w:p>
    <w:p w:rsidR="00894D5B" w:rsidRDefault="00894D5B">
      <w:pPr>
        <w:widowControl w:val="0"/>
        <w:ind w:firstLine="0"/>
        <w:jc w:val="center"/>
        <w:rPr>
          <w:b/>
        </w:rPr>
      </w:pPr>
    </w:p>
    <w:p w:rsidR="00894D5B" w:rsidRDefault="00DC1760">
      <w:pPr>
        <w:widowControl w:val="0"/>
        <w:spacing w:line="343" w:lineRule="auto"/>
        <w:rPr>
          <w:shd w:val="clear" w:color="auto" w:fill="FFFFFF"/>
        </w:rPr>
      </w:pPr>
      <w:r>
        <w:rPr>
          <w:shd w:val="clear" w:color="auto" w:fill="FFFFFF"/>
        </w:rPr>
        <w:t xml:space="preserve">121. В разделе 4 отражается распределение введенных жилых зданий </w:t>
      </w:r>
      <w:r>
        <w:rPr>
          <w:shd w:val="clear" w:color="auto" w:fill="FFFFFF"/>
        </w:rPr>
        <w:br w:type="textWrapping" w:clear="all"/>
      </w:r>
      <w:r>
        <w:rPr>
          <w:shd w:val="clear" w:color="auto" w:fill="FFFFFF"/>
        </w:rPr>
        <w:t xml:space="preserve">и расположенной в них общей площади жилых помещений по материалам стен и этажности. </w:t>
      </w:r>
    </w:p>
    <w:p w:rsidR="00894D5B" w:rsidRDefault="00DC1760">
      <w:pPr>
        <w:widowControl w:val="0"/>
        <w:spacing w:line="348" w:lineRule="auto"/>
        <w:rPr>
          <w:shd w:val="clear" w:color="auto" w:fill="FFFFFF"/>
        </w:rPr>
      </w:pPr>
      <w:r>
        <w:rPr>
          <w:rFonts w:eastAsia="Calibri"/>
          <w:lang w:eastAsia="en-US"/>
        </w:rPr>
        <w:t xml:space="preserve">Источником для заполнения данных по материалам стен является </w:t>
      </w:r>
      <w:r>
        <w:rPr>
          <w:spacing w:val="-2"/>
        </w:rPr>
        <w:lastRenderedPageBreak/>
        <w:t>технический план объекта или утвержденная проектная документация</w:t>
      </w:r>
      <w:r>
        <w:rPr>
          <w:shd w:val="clear" w:color="auto" w:fill="FFFFFF"/>
        </w:rPr>
        <w:t>.</w:t>
      </w:r>
    </w:p>
    <w:p w:rsidR="00894D5B" w:rsidRDefault="00DC1760">
      <w:pPr>
        <w:widowControl w:val="0"/>
        <w:spacing w:line="348" w:lineRule="auto"/>
        <w:rPr>
          <w:shd w:val="clear" w:color="auto" w:fill="FFFFFF"/>
        </w:rPr>
      </w:pPr>
      <w:r>
        <w:t xml:space="preserve">122. По строкам 26–32 из общего итога по строке 01 графам 5, 6 выделяются данные по материалам  стен  построенных жилых зданий (домов): </w:t>
      </w:r>
    </w:p>
    <w:p w:rsidR="00894D5B" w:rsidRDefault="00DC1760">
      <w:pPr>
        <w:widowControl w:val="0"/>
        <w:spacing w:line="348" w:lineRule="auto"/>
      </w:pPr>
      <w:r>
        <w:t>по строке 26 отражаются данные по жилым зданиям, пост</w:t>
      </w:r>
      <w:r>
        <w:t xml:space="preserve">роенным </w:t>
      </w:r>
      <w:r>
        <w:br w:type="textWrapping" w:clear="all"/>
      </w:r>
      <w:r>
        <w:rPr>
          <w:spacing w:val="-12"/>
        </w:rPr>
        <w:t xml:space="preserve">из камня (натурального и искусственного); по строке 27 – из кирпича; по строке 28 – </w:t>
      </w:r>
      <w:r>
        <w:rPr>
          <w:spacing w:val="-12"/>
        </w:rPr>
        <w:br w:type="textWrapping" w:clear="all"/>
      </w:r>
      <w:r>
        <w:rPr>
          <w:spacing w:val="-12"/>
        </w:rPr>
        <w:t>по</w:t>
      </w:r>
      <w:r>
        <w:t xml:space="preserve"> панельным домам; по строке 29 – по блочным домам; по строке 30 – </w:t>
      </w:r>
      <w:r>
        <w:br w:type="textWrapping" w:clear="all"/>
      </w:r>
      <w:r>
        <w:t>по домам  из деревянных конструкций и деталей (рубленым, брусчатым, щитовым и другим); по стр</w:t>
      </w:r>
      <w:r>
        <w:t xml:space="preserve">оке 31 – по монолитным домам; по строке 32 – </w:t>
      </w:r>
      <w:r>
        <w:br w:type="textWrapping" w:clear="all"/>
      </w:r>
      <w:r>
        <w:t>по домам, построенным из всех не перечисленных выше строительных материалов.</w:t>
      </w:r>
    </w:p>
    <w:p w:rsidR="00894D5B" w:rsidRDefault="00DC1760">
      <w:pPr>
        <w:widowControl w:val="0"/>
        <w:spacing w:line="348" w:lineRule="auto"/>
      </w:pPr>
      <w:r>
        <w:t xml:space="preserve">Когда стены дома возведены из нескольких видов материалов, </w:t>
      </w:r>
      <w:r>
        <w:rPr>
          <w:rFonts w:eastAsia="Calibri"/>
          <w:lang w:eastAsia="en-US"/>
        </w:rPr>
        <w:br w:type="textWrapping" w:clear="all"/>
      </w:r>
      <w:r>
        <w:t>его следует отнести к той группе стеновых материалов, которые в данном зд</w:t>
      </w:r>
      <w:r>
        <w:t>ании преобладают.</w:t>
      </w:r>
    </w:p>
    <w:p w:rsidR="00894D5B" w:rsidRDefault="00DC1760">
      <w:pPr>
        <w:widowControl w:val="0"/>
        <w:spacing w:line="348" w:lineRule="auto"/>
      </w:pPr>
      <w:r>
        <w:t xml:space="preserve">Сумма данных строк 26–32 должна быть равна данным строки 01 </w:t>
      </w:r>
      <w:r>
        <w:rPr>
          <w:rFonts w:eastAsia="Calibri"/>
          <w:lang w:eastAsia="en-US"/>
        </w:rPr>
        <w:br w:type="textWrapping" w:clear="all"/>
      </w:r>
      <w:r>
        <w:t>по соответствующим графам.</w:t>
      </w:r>
    </w:p>
    <w:p w:rsidR="00894D5B" w:rsidRDefault="00DC1760">
      <w:pPr>
        <w:widowControl w:val="0"/>
        <w:spacing w:line="348" w:lineRule="auto"/>
        <w:rPr>
          <w:bCs/>
        </w:rPr>
      </w:pPr>
      <w:r>
        <w:rPr>
          <w:bCs/>
        </w:rPr>
        <w:t xml:space="preserve">123. По строкам 33–45 из общего итога по строке 01 графам </w:t>
      </w:r>
      <w:r>
        <w:t xml:space="preserve">5, 6 </w:t>
      </w:r>
      <w:r>
        <w:rPr>
          <w:bCs/>
        </w:rPr>
        <w:t>выделяются данные по этажности построенных жилых зданий (домов):</w:t>
      </w:r>
    </w:p>
    <w:p w:rsidR="00894D5B" w:rsidRDefault="00DC1760">
      <w:pPr>
        <w:widowControl w:val="0"/>
        <w:spacing w:line="348" w:lineRule="auto"/>
        <w:rPr>
          <w:bCs/>
        </w:rPr>
      </w:pPr>
      <w:r>
        <w:rPr>
          <w:bCs/>
        </w:rPr>
        <w:t>по строке 33 отражаютс</w:t>
      </w:r>
      <w:r>
        <w:rPr>
          <w:bCs/>
        </w:rPr>
        <w:t xml:space="preserve">я данные по 1-этажным домам; по строке 34 </w:t>
      </w:r>
      <w:r>
        <w:t>–</w:t>
      </w:r>
      <w:r>
        <w:rPr>
          <w:bCs/>
        </w:rPr>
        <w:t xml:space="preserve"> </w:t>
      </w:r>
      <w:r>
        <w:rPr>
          <w:rFonts w:eastAsia="Calibri"/>
          <w:lang w:eastAsia="en-US"/>
        </w:rPr>
        <w:br w:type="textWrapping" w:clear="all"/>
      </w:r>
      <w:r>
        <w:rPr>
          <w:bCs/>
        </w:rPr>
        <w:t xml:space="preserve">2-этажным; по строкам 35–43 соответственно по 3–11-этажным; по строке 44 </w:t>
      </w:r>
      <w:r>
        <w:rPr>
          <w:rFonts w:eastAsia="Calibri"/>
          <w:lang w:eastAsia="en-US"/>
        </w:rPr>
        <w:br w:type="textWrapping" w:clear="all"/>
      </w:r>
      <w:r>
        <w:rPr>
          <w:bCs/>
        </w:rPr>
        <w:t>по 12–16-этажным; по строке 45 – по 17-и более этажным домам.</w:t>
      </w:r>
    </w:p>
    <w:p w:rsidR="00894D5B" w:rsidRDefault="00DC1760">
      <w:pPr>
        <w:spacing w:line="336" w:lineRule="auto"/>
        <w:rPr>
          <w:bCs/>
        </w:rPr>
      </w:pPr>
      <w:r>
        <w:rPr>
          <w:bCs/>
          <w:spacing w:val="-8"/>
        </w:rPr>
        <w:t>Сумма данных строк 33–45 по графе 4 должна быть равна данным</w:t>
      </w:r>
      <w:r>
        <w:rPr>
          <w:bCs/>
        </w:rPr>
        <w:t xml:space="preserve"> строки 01 </w:t>
      </w:r>
      <w:r>
        <w:rPr>
          <w:bCs/>
        </w:rPr>
        <w:br w:type="textWrapping" w:clear="all"/>
      </w:r>
      <w:r>
        <w:rPr>
          <w:bCs/>
          <w:spacing w:val="-10"/>
        </w:rPr>
        <w:t>по графе 6, сумма данных строк 33–45 по графе 3 должна быть меньше</w:t>
      </w:r>
      <w:r>
        <w:rPr>
          <w:bCs/>
        </w:rPr>
        <w:t xml:space="preserve"> или равна данным строки 01 по графе 5. Данные по жилым домам переменной этажности по строкам 33–45 условно отражаются по верхнему этажу.</w:t>
      </w:r>
    </w:p>
    <w:p w:rsidR="00894D5B" w:rsidRDefault="00DC1760">
      <w:pPr>
        <w:spacing w:line="336" w:lineRule="auto"/>
        <w:rPr>
          <w:bCs/>
        </w:rPr>
      </w:pPr>
      <w:r>
        <w:rPr>
          <w:bCs/>
        </w:rPr>
        <w:t>Этажность жилых зданий показывается без учета подзем</w:t>
      </w:r>
      <w:r>
        <w:rPr>
          <w:bCs/>
        </w:rPr>
        <w:t>ных этажей.</w:t>
      </w:r>
    </w:p>
    <w:p w:rsidR="00894D5B" w:rsidRDefault="00DC1760">
      <w:pPr>
        <w:ind w:firstLine="0"/>
        <w:jc w:val="center"/>
        <w:rPr>
          <w:b/>
        </w:rPr>
      </w:pPr>
      <w:r>
        <w:rPr>
          <w:b/>
        </w:rPr>
        <w:t xml:space="preserve">2.5. Заполнение </w:t>
      </w:r>
      <w:hyperlink w:anchor="P82" w:tooltip="#P82" w:history="1">
        <w:r>
          <w:rPr>
            <w:b/>
          </w:rPr>
          <w:t>раздела</w:t>
        </w:r>
      </w:hyperlink>
      <w:r>
        <w:rPr>
          <w:b/>
        </w:rPr>
        <w:t xml:space="preserve"> 5 «Сведения о находящихся в незавершенном строительстве зданиях и сооружениях по состоянию на конец года»</w:t>
      </w:r>
    </w:p>
    <w:p w:rsidR="00894D5B" w:rsidRDefault="00894D5B">
      <w:pPr>
        <w:widowControl w:val="0"/>
        <w:ind w:firstLine="0"/>
        <w:jc w:val="center"/>
        <w:rPr>
          <w:b/>
        </w:rPr>
      </w:pPr>
    </w:p>
    <w:p w:rsidR="00894D5B" w:rsidRDefault="00DC1760">
      <w:pPr>
        <w:widowControl w:val="0"/>
        <w:spacing w:line="336" w:lineRule="auto"/>
      </w:pPr>
      <w:r>
        <w:t xml:space="preserve">124. Раздел 5 заполняется только в отчете за декабрь в срок, указанный </w:t>
      </w:r>
      <w:r>
        <w:rPr>
          <w:rFonts w:eastAsia="Calibri"/>
          <w:lang w:eastAsia="en-US"/>
        </w:rPr>
        <w:br w:type="textWrapping" w:clear="all"/>
      </w:r>
      <w:r>
        <w:t>на бланк</w:t>
      </w:r>
      <w:r>
        <w:t xml:space="preserve">е формы, по всем зданиям и сооружениям, находящимся </w:t>
      </w:r>
      <w:r>
        <w:rPr>
          <w:rFonts w:eastAsia="Calibri"/>
          <w:lang w:eastAsia="en-US"/>
        </w:rPr>
        <w:br w:type="textWrapping" w:clear="all"/>
      </w:r>
      <w:r>
        <w:t xml:space="preserve">в незавершенном строительстве, по временно приостановленному </w:t>
      </w:r>
      <w:r>
        <w:rPr>
          <w:rFonts w:eastAsia="Calibri"/>
          <w:lang w:eastAsia="en-US"/>
        </w:rPr>
        <w:br w:type="textWrapping" w:clear="all"/>
      </w:r>
      <w:r>
        <w:t>и законсервированному строительству по состоянию на конец года.</w:t>
      </w:r>
    </w:p>
    <w:p w:rsidR="00894D5B" w:rsidRDefault="00DC1760">
      <w:pPr>
        <w:widowControl w:val="0"/>
        <w:spacing w:line="336" w:lineRule="auto"/>
      </w:pPr>
      <w:r>
        <w:t>Информация по полностью законченным строительством и введенным</w:t>
      </w:r>
      <w:r>
        <w:br w:type="textWrapping" w:clear="all"/>
      </w:r>
      <w:r>
        <w:lastRenderedPageBreak/>
        <w:t>в эксплуатацию</w:t>
      </w:r>
      <w:r>
        <w:t xml:space="preserve"> зданиям и сооружениям в данном разделе не отражается.</w:t>
      </w:r>
    </w:p>
    <w:p w:rsidR="00894D5B" w:rsidRDefault="00DC1760">
      <w:pPr>
        <w:spacing w:line="336" w:lineRule="auto"/>
      </w:pPr>
      <w:r>
        <w:t xml:space="preserve">125. В графе 3 по строке 46 показывается количество зданий, сооружений, находящихся в незавершенном строительстве на конец года. </w:t>
      </w:r>
      <w:r>
        <w:br w:type="textWrapping" w:clear="all"/>
      </w:r>
      <w:r>
        <w:t xml:space="preserve">К ним </w:t>
      </w:r>
      <w:r>
        <w:rPr>
          <w:spacing w:val="-8"/>
        </w:rPr>
        <w:t>относятся здания и сооружения, строительство которых продолжается</w:t>
      </w:r>
      <w:r>
        <w:rPr>
          <w:spacing w:val="-8"/>
        </w:rPr>
        <w:t>, временно</w:t>
      </w:r>
      <w:r>
        <w:t xml:space="preserve"> приостановлено, законсервировано или окончательно прекращено. Если данные по введенному в эксплуатацию объекту отражены в разделах </w:t>
      </w:r>
      <w:r>
        <w:br w:type="textWrapping" w:clear="all"/>
      </w:r>
      <w:r>
        <w:t xml:space="preserve">1 или 2, то в разделе 5 данные по нему не отражаются. </w:t>
      </w:r>
    </w:p>
    <w:p w:rsidR="00894D5B" w:rsidRDefault="00DC1760">
      <w:pPr>
        <w:spacing w:line="336" w:lineRule="auto"/>
      </w:pPr>
      <w:r>
        <w:t>В графе 4 по строке 46, в том числе из графы 3, выделяются</w:t>
      </w:r>
      <w:r>
        <w:t xml:space="preserve"> данные </w:t>
      </w:r>
      <w:r>
        <w:rPr>
          <w:rFonts w:eastAsia="Calibri"/>
          <w:lang w:eastAsia="en-US"/>
        </w:rPr>
        <w:br w:type="textWrapping" w:clear="all"/>
      </w:r>
      <w:r>
        <w:t>о количестве незавершенных строительством жилых зданий (домов).</w:t>
      </w:r>
    </w:p>
    <w:p w:rsidR="00894D5B" w:rsidRDefault="00DC1760">
      <w:pPr>
        <w:spacing w:line="336" w:lineRule="auto"/>
        <w:ind w:firstLine="708"/>
      </w:pPr>
      <w:r>
        <w:t>В графе 5 по строке 46 отражаются данные об общей площади квартир (жилых помещений) в жилых зданиях, отраженных в графе 4. Общая площадь квартир (жилых помещений) определяется по прое</w:t>
      </w:r>
      <w:r>
        <w:t>ктно-сметной документации.</w:t>
      </w:r>
    </w:p>
    <w:p w:rsidR="00894D5B" w:rsidRDefault="00DC1760">
      <w:pPr>
        <w:spacing w:line="336" w:lineRule="auto"/>
      </w:pPr>
      <w:r>
        <w:t>126. По строке 47, в том числе из строки 46, в графах 3–5 выделяются данные по зданиям и сооружениям, строительство которых временно приостановлено или законсервировано (финансирование которых в текущем году не осуществлялось или</w:t>
      </w:r>
      <w:r>
        <w:t xml:space="preserve"> были выделены средства только на консервацию).</w:t>
      </w:r>
    </w:p>
    <w:p w:rsidR="00894D5B" w:rsidRDefault="00894D5B">
      <w:pPr>
        <w:spacing w:line="336" w:lineRule="auto"/>
      </w:pPr>
    </w:p>
    <w:p w:rsidR="00894D5B" w:rsidRDefault="00DC1760">
      <w:pPr>
        <w:spacing w:line="348" w:lineRule="auto"/>
        <w:jc w:val="center"/>
        <w:rPr>
          <w:bCs/>
        </w:rPr>
      </w:pPr>
      <w:r>
        <w:rPr>
          <w:bCs/>
        </w:rPr>
        <w:t>––––––––––––</w:t>
      </w:r>
    </w:p>
    <w:p w:rsidR="00894D5B" w:rsidRDefault="00894D5B">
      <w:pPr>
        <w:spacing w:line="348" w:lineRule="auto"/>
        <w:jc w:val="center"/>
        <w:rPr>
          <w:lang w:val="en-US"/>
        </w:rPr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p w:rsidR="00894D5B" w:rsidRDefault="00894D5B">
      <w:pPr>
        <w:spacing w:line="348" w:lineRule="auto"/>
        <w:jc w:val="center"/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894D5B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4D5B" w:rsidRDefault="00DC1760">
            <w:pPr>
              <w:spacing w:line="216" w:lineRule="auto"/>
              <w:ind w:firstLine="0"/>
              <w:jc w:val="center"/>
            </w:pPr>
            <w:r>
              <w:lastRenderedPageBreak/>
              <w:t>Приложение № 1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>к Указаниям по заполнению формы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 xml:space="preserve">федерального статистического наблюдения № С-1 «Сведения о вводе 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 xml:space="preserve">в эксплуатацию зданий и сооружений», утвержденным приказом 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>Росстата от 19.01.2024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 xml:space="preserve"> 15   </w:t>
            </w:r>
          </w:p>
        </w:tc>
      </w:tr>
    </w:tbl>
    <w:p w:rsidR="00894D5B" w:rsidRDefault="00DC1760">
      <w:pPr>
        <w:spacing w:line="216" w:lineRule="auto"/>
        <w:jc w:val="center"/>
      </w:pPr>
      <w:r>
        <w:t xml:space="preserve">                                                              </w:t>
      </w:r>
    </w:p>
    <w:p w:rsidR="00894D5B" w:rsidRDefault="00894D5B">
      <w:pPr>
        <w:spacing w:line="360" w:lineRule="auto"/>
        <w:ind w:firstLine="0"/>
      </w:pPr>
    </w:p>
    <w:p w:rsidR="00894D5B" w:rsidRDefault="00894D5B">
      <w:pPr>
        <w:spacing w:line="360" w:lineRule="auto"/>
        <w:ind w:firstLine="0"/>
      </w:pPr>
    </w:p>
    <w:p w:rsidR="00894D5B" w:rsidRDefault="00DC1760">
      <w:pPr>
        <w:spacing w:line="192" w:lineRule="auto"/>
        <w:ind w:firstLine="0"/>
        <w:jc w:val="center"/>
        <w:rPr>
          <w:b/>
        </w:rPr>
      </w:pPr>
      <w:r>
        <w:rPr>
          <w:b/>
        </w:rPr>
        <w:t>ПЕРЕЧЕНЬ</w:t>
      </w:r>
    </w:p>
    <w:p w:rsidR="00894D5B" w:rsidRDefault="00DC1760">
      <w:pPr>
        <w:spacing w:line="192" w:lineRule="auto"/>
        <w:ind w:firstLine="0"/>
        <w:jc w:val="center"/>
        <w:rPr>
          <w:b/>
        </w:rPr>
      </w:pPr>
      <w:r>
        <w:rPr>
          <w:b/>
        </w:rPr>
        <w:t>объектов, данные по которым отражаются</w:t>
      </w:r>
    </w:p>
    <w:p w:rsidR="00894D5B" w:rsidRDefault="00DC1760">
      <w:pPr>
        <w:spacing w:line="192" w:lineRule="auto"/>
        <w:ind w:firstLine="0"/>
        <w:jc w:val="center"/>
        <w:rPr>
          <w:b/>
        </w:rPr>
      </w:pPr>
      <w:r>
        <w:rPr>
          <w:b/>
        </w:rPr>
        <w:t>в разделе 1 формы № С-1</w:t>
      </w:r>
    </w:p>
    <w:p w:rsidR="00894D5B" w:rsidRDefault="00894D5B">
      <w:pPr>
        <w:spacing w:line="192" w:lineRule="auto"/>
        <w:ind w:firstLine="0"/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666"/>
      </w:tblGrid>
      <w:tr w:rsidR="00894D5B">
        <w:trPr>
          <w:trHeight w:val="55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5B" w:rsidRDefault="00DC1760">
            <w:pPr>
              <w:ind w:firstLine="0"/>
              <w:jc w:val="center"/>
            </w:pPr>
            <w:r>
              <w:t>Наименования объектов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5B" w:rsidRDefault="00DC1760">
            <w:pPr>
              <w:ind w:firstLine="0"/>
              <w:jc w:val="center"/>
            </w:pPr>
            <w:r>
              <w:t>Коды</w:t>
            </w:r>
            <w:r>
              <w:rPr>
                <w:vertAlign w:val="superscript"/>
              </w:rPr>
              <w:t>1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spacing w:line="192" w:lineRule="auto"/>
              <w:ind w:firstLine="0"/>
              <w:jc w:val="left"/>
            </w:pPr>
          </w:p>
          <w:p w:rsidR="00894D5B" w:rsidRDefault="00DC1760">
            <w:pPr>
              <w:spacing w:line="192" w:lineRule="auto"/>
              <w:ind w:firstLine="0"/>
              <w:jc w:val="left"/>
            </w:pPr>
            <w:r>
              <w:t>Из строки 01 жилые здания: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spacing w:line="192" w:lineRule="auto"/>
              <w:ind w:firstLine="0"/>
              <w:jc w:val="center"/>
            </w:pP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</w:t>
            </w:r>
          </w:p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   в сельской местности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508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</w:t>
            </w:r>
          </w:p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общежития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507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</w:t>
            </w:r>
          </w:p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многоквартирные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518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spacing w:line="192" w:lineRule="auto"/>
              <w:ind w:firstLine="0"/>
              <w:jc w:val="left"/>
            </w:pPr>
          </w:p>
          <w:p w:rsidR="00894D5B" w:rsidRDefault="00DC1760">
            <w:pPr>
              <w:spacing w:line="192" w:lineRule="auto"/>
              <w:ind w:firstLine="0"/>
              <w:jc w:val="left"/>
            </w:pPr>
            <w:r>
              <w:t xml:space="preserve">   индивидуальные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529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ind w:firstLine="0"/>
              <w:jc w:val="left"/>
            </w:pPr>
            <w:r>
              <w:t xml:space="preserve">          из них: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spacing w:line="192" w:lineRule="auto"/>
              <w:ind w:firstLine="0"/>
              <w:jc w:val="center"/>
            </w:pP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ind w:firstLine="0"/>
              <w:jc w:val="left"/>
            </w:pPr>
          </w:p>
          <w:p w:rsidR="00894D5B" w:rsidRDefault="00DC1760">
            <w:pPr>
              <w:ind w:firstLine="0"/>
              <w:jc w:val="left"/>
            </w:pPr>
            <w:r>
              <w:t xml:space="preserve">      дома коттеджного типа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511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ind w:firstLine="0"/>
              <w:jc w:val="left"/>
            </w:pPr>
          </w:p>
          <w:p w:rsidR="00894D5B" w:rsidRDefault="00DC1760">
            <w:pPr>
              <w:ind w:firstLine="0"/>
              <w:jc w:val="left"/>
            </w:pPr>
            <w:r>
              <w:t xml:space="preserve">      блокированные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528</w:t>
            </w: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ind w:firstLine="0"/>
              <w:jc w:val="left"/>
            </w:pPr>
          </w:p>
          <w:p w:rsidR="00894D5B" w:rsidRDefault="00DC1760">
            <w:pPr>
              <w:ind w:firstLine="0"/>
              <w:jc w:val="left"/>
            </w:pPr>
            <w:r>
              <w:t>Из строки 01 жилые здания, построенные за счет средств: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spacing w:line="192" w:lineRule="auto"/>
              <w:ind w:firstLine="0"/>
              <w:jc w:val="center"/>
            </w:pPr>
          </w:p>
        </w:tc>
      </w:tr>
      <w:tr w:rsidR="00894D5B">
        <w:trPr>
          <w:trHeight w:val="322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894D5B">
            <w:pPr>
              <w:ind w:firstLine="0"/>
              <w:jc w:val="left"/>
            </w:pPr>
          </w:p>
          <w:p w:rsidR="00894D5B" w:rsidRDefault="00DC1760">
            <w:pPr>
              <w:ind w:firstLine="0"/>
              <w:jc w:val="left"/>
            </w:pPr>
            <w:r>
              <w:t xml:space="preserve">   федерального бюджета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512</w:t>
            </w:r>
          </w:p>
        </w:tc>
      </w:tr>
      <w:tr w:rsidR="00894D5B">
        <w:trPr>
          <w:trHeight w:val="824"/>
        </w:trPr>
        <w:tc>
          <w:tcPr>
            <w:tcW w:w="808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ind w:firstLine="0"/>
              <w:jc w:val="left"/>
            </w:pPr>
            <w:r>
              <w:t xml:space="preserve">   бюджетов субъектов Российской Федерации и местных  </w:t>
            </w:r>
          </w:p>
          <w:p w:rsidR="00894D5B" w:rsidRDefault="00DC1760">
            <w:pPr>
              <w:ind w:firstLine="0"/>
              <w:jc w:val="left"/>
            </w:pPr>
            <w:r>
              <w:t xml:space="preserve">   бюджетов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513</w:t>
            </w:r>
          </w:p>
        </w:tc>
      </w:tr>
      <w:tr w:rsidR="00894D5B">
        <w:trPr>
          <w:trHeight w:val="695"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ind w:firstLine="0"/>
              <w:jc w:val="left"/>
            </w:pPr>
            <w:r>
              <w:t>Из строки 01 жилые здания, построенные по ипотечному кредитованию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D5B" w:rsidRDefault="00DC1760">
            <w:pPr>
              <w:spacing w:line="192" w:lineRule="auto"/>
              <w:ind w:firstLine="0"/>
              <w:jc w:val="center"/>
            </w:pPr>
            <w:r>
              <w:t>515</w:t>
            </w:r>
          </w:p>
        </w:tc>
      </w:tr>
    </w:tbl>
    <w:p w:rsidR="00894D5B" w:rsidRDefault="00894D5B">
      <w:pPr>
        <w:spacing w:line="192" w:lineRule="auto"/>
        <w:ind w:firstLine="0"/>
        <w:jc w:val="center"/>
        <w:rPr>
          <w:b/>
        </w:rPr>
      </w:pPr>
    </w:p>
    <w:p w:rsidR="00894D5B" w:rsidRDefault="00DC1760">
      <w:pPr>
        <w:spacing w:before="120"/>
        <w:ind w:firstLine="0"/>
        <w:jc w:val="left"/>
      </w:pPr>
      <w:r>
        <w:t>_____________</w:t>
      </w:r>
    </w:p>
    <w:p w:rsidR="00894D5B" w:rsidRDefault="00DC1760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Локальные коды мощности.</w:t>
      </w:r>
    </w:p>
    <w:p w:rsidR="00894D5B" w:rsidRDefault="00894D5B">
      <w:pPr>
        <w:spacing w:line="192" w:lineRule="auto"/>
        <w:ind w:firstLine="0"/>
        <w:jc w:val="center"/>
        <w:rPr>
          <w:b/>
        </w:rPr>
      </w:pPr>
    </w:p>
    <w:p w:rsidR="00894D5B" w:rsidRDefault="00DC1760">
      <w:pPr>
        <w:tabs>
          <w:tab w:val="left" w:pos="1080"/>
        </w:tabs>
        <w:spacing w:before="400" w:line="360" w:lineRule="auto"/>
        <w:ind w:firstLine="0"/>
        <w:jc w:val="center"/>
        <w:rPr>
          <w:bCs/>
        </w:rPr>
      </w:pPr>
      <w:r>
        <w:rPr>
          <w:bCs/>
        </w:rPr>
        <w:t>––––––––––––</w:t>
      </w:r>
    </w:p>
    <w:p w:rsidR="00894D5B" w:rsidRDefault="00894D5B">
      <w:pPr>
        <w:spacing w:line="192" w:lineRule="auto"/>
        <w:ind w:firstLine="0"/>
        <w:jc w:val="center"/>
        <w:rPr>
          <w:b/>
        </w:rPr>
      </w:pPr>
    </w:p>
    <w:p w:rsidR="00894D5B" w:rsidRDefault="00894D5B">
      <w:pPr>
        <w:spacing w:line="192" w:lineRule="auto"/>
        <w:ind w:firstLine="0"/>
        <w:jc w:val="center"/>
        <w:rPr>
          <w:b/>
        </w:rPr>
      </w:pPr>
    </w:p>
    <w:p w:rsidR="00894D5B" w:rsidRDefault="00894D5B">
      <w:pPr>
        <w:spacing w:line="192" w:lineRule="auto"/>
        <w:ind w:firstLine="0"/>
        <w:jc w:val="center"/>
        <w:rPr>
          <w:b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894D5B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4D5B" w:rsidRDefault="00DC1760">
            <w:pPr>
              <w:spacing w:line="216" w:lineRule="auto"/>
              <w:ind w:firstLine="0"/>
              <w:jc w:val="center"/>
            </w:pPr>
            <w:r>
              <w:lastRenderedPageBreak/>
              <w:t>Приложение № 2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>к Указаниям по заполнению формы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 xml:space="preserve">федерального статистического наблюдения № С-1 «Сведения о вводе </w:t>
            </w:r>
          </w:p>
          <w:p w:rsidR="00894D5B" w:rsidRDefault="00DC1760">
            <w:pPr>
              <w:spacing w:line="216" w:lineRule="auto"/>
              <w:ind w:firstLine="0"/>
              <w:jc w:val="center"/>
            </w:pPr>
            <w:r>
              <w:t xml:space="preserve">в эксплуатацию зданий и сооружений», утвержденным приказом </w:t>
            </w:r>
          </w:p>
          <w:p w:rsidR="00894D5B" w:rsidRDefault="00DC1760">
            <w:pPr>
              <w:spacing w:line="360" w:lineRule="auto"/>
              <w:ind w:firstLine="0"/>
              <w:jc w:val="center"/>
            </w:pPr>
            <w:r>
              <w:t>Росстата от</w:t>
            </w:r>
            <w:r>
              <w:rPr>
                <w:lang w:val="en-US"/>
              </w:rPr>
              <w:t xml:space="preserve"> 19.01.2024 </w:t>
            </w:r>
            <w:r>
              <w:t>№</w:t>
            </w:r>
            <w:r>
              <w:rPr>
                <w:lang w:val="en-US"/>
              </w:rPr>
              <w:t xml:space="preserve"> 15  </w:t>
            </w:r>
          </w:p>
        </w:tc>
      </w:tr>
    </w:tbl>
    <w:p w:rsidR="00894D5B" w:rsidRDefault="00894D5B">
      <w:pPr>
        <w:spacing w:line="360" w:lineRule="auto"/>
        <w:ind w:firstLine="0"/>
        <w:jc w:val="right"/>
      </w:pPr>
    </w:p>
    <w:p w:rsidR="00894D5B" w:rsidRDefault="00894D5B">
      <w:pPr>
        <w:ind w:firstLine="0"/>
        <w:jc w:val="right"/>
        <w:rPr>
          <w:b/>
        </w:rPr>
      </w:pPr>
    </w:p>
    <w:p w:rsidR="00894D5B" w:rsidRDefault="00894D5B">
      <w:pPr>
        <w:ind w:firstLine="0"/>
        <w:jc w:val="right"/>
        <w:rPr>
          <w:b/>
        </w:rPr>
      </w:pPr>
    </w:p>
    <w:p w:rsidR="00894D5B" w:rsidRDefault="00DC1760">
      <w:pPr>
        <w:tabs>
          <w:tab w:val="left" w:pos="993"/>
        </w:tabs>
        <w:spacing w:line="216" w:lineRule="auto"/>
        <w:ind w:firstLine="0"/>
        <w:jc w:val="center"/>
        <w:rPr>
          <w:b/>
        </w:rPr>
      </w:pPr>
      <w:r>
        <w:rPr>
          <w:b/>
        </w:rPr>
        <w:t>ПЕРЕЧЕНЬ</w:t>
      </w:r>
    </w:p>
    <w:p w:rsidR="00894D5B" w:rsidRDefault="00DC1760">
      <w:pPr>
        <w:tabs>
          <w:tab w:val="left" w:pos="993"/>
        </w:tabs>
        <w:spacing w:line="216" w:lineRule="auto"/>
        <w:ind w:firstLine="0"/>
        <w:jc w:val="center"/>
        <w:rPr>
          <w:b/>
        </w:rPr>
      </w:pPr>
      <w:r>
        <w:rPr>
          <w:b/>
        </w:rPr>
        <w:t>мощностей введенных объектов в нежилых зданиях</w:t>
      </w:r>
    </w:p>
    <w:p w:rsidR="00894D5B" w:rsidRDefault="00DC1760">
      <w:pPr>
        <w:tabs>
          <w:tab w:val="left" w:pos="993"/>
        </w:tabs>
        <w:spacing w:line="216" w:lineRule="auto"/>
        <w:ind w:firstLine="0"/>
        <w:jc w:val="center"/>
        <w:rPr>
          <w:b/>
        </w:rPr>
      </w:pPr>
      <w:r>
        <w:rPr>
          <w:b/>
        </w:rPr>
        <w:t>и сооруже</w:t>
      </w:r>
      <w:r>
        <w:rPr>
          <w:b/>
        </w:rPr>
        <w:t>ний, данные по которым отражаются в разделе 2 формы № С-1</w:t>
      </w:r>
    </w:p>
    <w:p w:rsidR="00894D5B" w:rsidRDefault="00DC1760">
      <w:pPr>
        <w:spacing w:line="21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(по номенклатуре Росстата)</w:t>
      </w:r>
    </w:p>
    <w:p w:rsidR="00894D5B" w:rsidRDefault="00894D5B">
      <w:pPr>
        <w:ind w:firstLine="0"/>
        <w:jc w:val="center"/>
        <w:rPr>
          <w:b/>
          <w:bCs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559"/>
        <w:gridCol w:w="1134"/>
      </w:tblGrid>
      <w:tr w:rsidR="00894D5B">
        <w:trPr>
          <w:trHeight w:val="255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деятель-ности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мощности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мощности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Сельское, лесное хозяйство, охота, рыболовство </w:t>
            </w:r>
          </w:p>
          <w:p w:rsidR="00894D5B" w:rsidRDefault="00DC1760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рыбоводство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894D5B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4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крупного рогатого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помещения для крупного рогатого скота,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(тыс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для крупного рогатого скота,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свиней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овец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коз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 мест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лошадей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кроликов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для птицы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птицемест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кур несуш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Птицефабрики яичного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</w:t>
            </w:r>
          </w:p>
        </w:tc>
      </w:tr>
      <w:tr w:rsidR="00894D5B">
        <w:trPr>
          <w:trHeight w:val="2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гол/год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Птицефабрики мясного направления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Инкубатор по выведению цыплят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Комбинаты тепличные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Теплицы под стеклом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Теплицы пленочные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Теплицы с покрытием из полимерных материалов 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(поликарбонат)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Орошение земель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кода 7510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орошение сенокосов и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реконструкция орошаемых земель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вышедших из строя трубопроводов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на оросительной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Обводнение пастбищ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водохозяйственных сооружений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на ранее обводненных пастбищах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Осушение земель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 восстановление осушительных систем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кода 7550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осушено закрытым дренажем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осушение болот для заготовки торфа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осушение земель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переустройство коллекторно-дренажной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сети на землях, не требующих комплексной реконструкции оросительных систем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7557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Культуртехнические работы на сельскохозяйственных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угодьях, не требующих осушения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га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кода 7560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культуртехнические работы на землях,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не требующих осушения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Зерносушилки стационарные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Зерносеменохранилища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 семенохранилища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7212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Хранилища для картофеля, овощей и фруктов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организаций сельского  хозяйства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</w:tc>
      </w:tr>
      <w:tr w:rsidR="00894D5B">
        <w:trPr>
          <w:trHeight w:val="17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27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картофелехранилища для организаций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сельского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7226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7227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смешанные </w:t>
            </w:r>
            <w:r>
              <w:rPr>
                <w:sz w:val="20"/>
                <w:szCs w:val="20"/>
              </w:rPr>
              <w:t xml:space="preserve">картофеле- и овощехранилища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7228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плодохранилища для организаций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7229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Корнеплодохранилища (для кормов)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Хранилища для травяной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Хранилища для брикетированных и гранулированных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кормосмесей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7225</w:t>
            </w:r>
          </w:p>
        </w:tc>
      </w:tr>
      <w:tr w:rsidR="00894D5B">
        <w:trPr>
          <w:trHeight w:val="34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Силосные и сенажные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мастерские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 рем/год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Материально-технические базы хранения машин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3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лесозаготовительные, вывоз древесины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Мощности рыбоводных хозяйств по выращиванию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товарной рыбы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Рыборазводное предприятие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 угля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Мощности по добыче угля: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Разрезы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углеобогатительные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перераб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</w:tr>
      <w:tr w:rsidR="00894D5B">
        <w:trPr>
          <w:trHeight w:val="2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 нефти и природного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нефтяные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Скважины нефтяные эксплуатационного бурения,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тыс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газовые эксплуатационного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Скважины газовые эксплуатационного бурения,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железная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 железной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марганцевая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медная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по обогащению медной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 черновая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свинцово-цинковая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по обогащению свинцово-цинковой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никелевая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вольфрамо-молибденовая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по обогащению вольфрамо-молибденовой руды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 золотосодержащая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Торф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</w:t>
            </w:r>
          </w:p>
        </w:tc>
      </w:tr>
      <w:tr w:rsidR="00894D5B">
        <w:trPr>
          <w:trHeight w:val="32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Нерудные материалы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щебень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гравий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 природная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Известняковая и доломитовая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Асбестовая 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– обогащенный сырец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нефтяные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нефтяные разведочного бурения, тыс т добычи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газовые разведочного бурения,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газовые разведочного бурения, тыс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добычи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Быстрозамороженные мясные блюда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усл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убоя скота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 рыбообрабатывающие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переработке морских биоресурсов/морепродуктов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Предприятия и цехи по производству консервов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овощных и фруктовых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банк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быстрозамороженная плодоовощная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</w:t>
            </w:r>
          </w:p>
        </w:tc>
      </w:tr>
      <w:tr w:rsidR="00894D5B">
        <w:trPr>
          <w:trHeight w:val="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том числе из картофеля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Картофелепродукты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животное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Маргариновая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 методом отжима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</w:tr>
      <w:tr w:rsidR="00894D5B">
        <w:trPr>
          <w:trHeight w:val="23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 методом экстракции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Цельномолочная продукция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сухое обезжиренное, заменители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цельного молока и сухая сыворотка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твердых сортов (без плавленых)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сыра (без плавленых)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плавленый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молочные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усл банк/смен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5361</w:t>
            </w:r>
          </w:p>
        </w:tc>
      </w:tr>
      <w:tr w:rsidR="00894D5B">
        <w:trPr>
          <w:trHeight w:val="25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мельничные сортового помола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5841</w:t>
            </w:r>
          </w:p>
        </w:tc>
      </w:tr>
      <w:tr w:rsidR="00894D5B">
        <w:trPr>
          <w:trHeight w:val="25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крупяные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</w:t>
            </w:r>
          </w:p>
        </w:tc>
      </w:tr>
      <w:tr w:rsidR="00894D5B">
        <w:trPr>
          <w:trHeight w:val="2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Цехи комбикормовые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</w:t>
            </w:r>
          </w:p>
        </w:tc>
      </w:tr>
      <w:tr w:rsidR="00894D5B">
        <w:trPr>
          <w:trHeight w:val="25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Мельницы-крупорушки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 картофельный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Хлебобулочные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Хлебопекарные дрожжи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Сахар-песок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 ц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перераб/сут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кондитерские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Пищевые концентраты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пищевая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Кормоцехи для животноводства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защиты растений и животных микробиологические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Препараты ферментные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 кормовой микробиологический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Корма для домашних животных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минеральная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млн 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Безалкогольные напитки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 и ликеро-водочные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дкл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Полотно трикотажное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трикотажные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Ткани готовые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Нетканые материалы типа тканей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прядильных веретен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прядильных мест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ткацких станков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одежды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швейные (в нормативной стоимости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Чулочно-носочные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пар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пар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 том числе кожаная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пар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 мягкие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дм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древесины и производство изделий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 xml:space="preserve">из дерева и пробки, кроме мебели, производство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изделий из соломки и материалов для плетения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древесностружечные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древесноволокнистые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Паркетная доска, щитовой паркет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столярные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сборные деревянные строительные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(здания сборные деревянные)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деревянные строительные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Комплекты усадебных деревянных домов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заводского изготовления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деревянные клееные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 деревянная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Топливные брикеты/пеллеты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</w:t>
            </w:r>
          </w:p>
        </w:tc>
      </w:tr>
      <w:tr w:rsidR="00894D5B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Целлюлоза (по варке)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Гофрокартон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Ящики и коробки картонные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млн </w:t>
            </w:r>
            <w:r>
              <w:rPr>
                <w:sz w:val="20"/>
                <w:szCs w:val="20"/>
              </w:rPr>
              <w:t>усл кус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Предприятие по производству предметов гигиены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полиграфическая  и копирование носителей информации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полиграфические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млн краск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оттиск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Типографии районные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Типографии районные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лист.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оттиск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переработка нефти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Каталитическое крекирование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Каталитическое риформирование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</w:tr>
      <w:tr w:rsidR="00894D5B">
        <w:trPr>
          <w:trHeight w:val="18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Присадки к смазочным маслам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Масла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Присадки к смазочным материалам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смазочные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Гидроочистка дизельного топлива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Депарафинизация дизельных и керосиновых фракций,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тыс. т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</w:t>
            </w:r>
          </w:p>
        </w:tc>
      </w:tr>
      <w:tr w:rsidR="00894D5B">
        <w:trPr>
          <w:trHeight w:val="31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Депарафинизация дизельных и керосиновых фракций 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парафина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Гидрокрекинг сырья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Прокалка нефтяного кокса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коксовых батарей (кокс 6% влажности)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Нефтяной кокс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</w:tr>
      <w:tr w:rsidR="00894D5B">
        <w:trPr>
          <w:trHeight w:val="4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химических веществ и химических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синтетический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Кислород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</w:p>
        </w:tc>
      </w:tr>
      <w:tr w:rsidR="00894D5B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Органические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</w:tr>
      <w:tr w:rsidR="00894D5B">
        <w:trPr>
          <w:trHeight w:val="348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Удобрения минеральные /в пересчете на 100% питательных веществ/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14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удобрения азотные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удобрения фосфатные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удобрения калийные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фосфоритная мука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удобрения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Кислота серная в моногидрате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калия (калий едкий, кали едкое)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 каустическая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Сода кальцинированная 100-процентная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</w:t>
            </w:r>
          </w:p>
        </w:tc>
      </w:tr>
      <w:tr w:rsidR="00894D5B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защиты растений химические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(в 100% исчислении по действующему веществу)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Волокна и нити синтетические и искусственные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Волокна и нити химические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Смолы синтетические и пластические массы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Лаки и краски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Красители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Йод и йодопродукты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Катализаторы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Полиизобутилен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Карбиды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Бутадиен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Каучуки синтетические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синтетические моющие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Аминокислоты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Зубная паста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усл туб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Косметические и парфюмерные средства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бытовой химии в мелкой расфасовке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4965</w:t>
            </w:r>
          </w:p>
        </w:tc>
      </w:tr>
      <w:tr w:rsidR="00894D5B">
        <w:trPr>
          <w:trHeight w:val="44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Антибиотики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Синтетические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Готовые лекарственные препараты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Шины автомобильные, для сельскохозяйственных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машин, мотоциклов и мотороллеров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82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шины радиальные с металлокордом, сверхкрупногабаритные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шины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конвейерная резинотканевая (транспортерная лента)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Ремни приводные прорезиненные клиновые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усл 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Резинотехнические изделия формовые и неформовые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Пленка поливинилхлоридная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Пленка полимерная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Пластмассовые изделия для упаковки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пластмассовые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</w:t>
            </w:r>
          </w:p>
        </w:tc>
      </w:tr>
      <w:tr w:rsidR="00894D5B">
        <w:trPr>
          <w:trHeight w:val="37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Ящики и лотки из полиэтилена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Линолеум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</w:t>
            </w:r>
          </w:p>
        </w:tc>
      </w:tr>
      <w:tr w:rsidR="00894D5B">
        <w:trPr>
          <w:trHeight w:val="131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теплозвукоизолирующей подоснове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</w:t>
            </w:r>
          </w:p>
        </w:tc>
      </w:tr>
      <w:tr w:rsidR="00894D5B">
        <w:trPr>
          <w:trHeight w:val="29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прочей неметаллической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минеральной продукции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Колодки и накладки тормозные асбестовые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Сухие смеси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товарный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асбестоцементные (шифер)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плит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</w:tr>
      <w:tr w:rsidR="00894D5B">
        <w:trPr>
          <w:trHeight w:val="11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Черепица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</w:t>
            </w:r>
          </w:p>
        </w:tc>
      </w:tr>
      <w:tr w:rsidR="00894D5B">
        <w:trPr>
          <w:trHeight w:val="42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Полимерные кровельные материалы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(мастичные и рулонные)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Рулонные кровельные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</w:t>
            </w:r>
          </w:p>
        </w:tc>
      </w:tr>
      <w:tr w:rsidR="00894D5B">
        <w:trPr>
          <w:trHeight w:val="21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усл труб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</w:t>
            </w:r>
          </w:p>
        </w:tc>
      </w:tr>
      <w:tr w:rsidR="00894D5B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 оконное (в 2-х мм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</w:tr>
      <w:tr w:rsidR="00894D5B">
        <w:trPr>
          <w:trHeight w:val="23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стекла полые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керамические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керамические облицовочные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керамические фасадные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 керамические для полов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Теплоизоляционные материалы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Стеновые материалы (без стеновых железобетонных панелей)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Кирпич строительный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5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глиняный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5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5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Блоки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мелкие (без блоков из ячеистого бетона)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из естественного камня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(блоки) из ячеистого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усл кирп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</w:t>
            </w:r>
          </w:p>
        </w:tc>
      </w:tr>
      <w:tr w:rsidR="00894D5B">
        <w:trPr>
          <w:trHeight w:val="289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Керамзитовые 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керамические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санитарные керамические из полимер-бетона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и изделия сборные железобетонные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фарфоро-фаянсовые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Тугоплавкие глины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изделия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сборные из бетона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домостроения на основе ячеистых бетонов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Панели и другие конструкции для крупнопанельного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домостроения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панели и другие конструкции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для крупнопанельных зданий социального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 культурно-бытового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Цементостружечные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Гипсостружечные плиты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 (в пересчете на передельный),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количество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 (в пересчете на передельный),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мощность доменных печей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Ферросплавы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Никель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Сталь конверторная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конверторная (количество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конверторная (мощность конвертеров)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Сталь электропечная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электропечная (количество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электропечная (мощность электрических печей)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непрерывного литья заготовок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непрерывного литья заготовок (количество 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непрерывного литья заготовок (мощность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машин)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черных металлов (готовый)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прокатных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Холодный прокат листа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станов холодного проката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7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трубных станов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 модифицированные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Глинозем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Алюминий первичный, включая силумин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Алюминий вторичный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цветных металлов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 w:rsidR="00894D5B">
        <w:trPr>
          <w:trHeight w:val="30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чугунные канализационные и фасонные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металлолома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готовых металлических изделий,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кроме машин 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Реакторы энергетические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мегаВт/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металлообрабатывающий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 строительно-монтажный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 строительно-монтажный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механизированный, включая бытовой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Краны-смесители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Раковины и мойки (кроме керамических)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легкие металлические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Конструкции и изделия строительные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 алюминия и алюминиевых сплавов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Бочки стальные тонкостенные для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нефтебитума в 200 литровом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Фляги стальные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 стальная эмалированная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</w:t>
            </w:r>
          </w:p>
        </w:tc>
      </w:tr>
      <w:tr w:rsidR="00894D5B">
        <w:trPr>
          <w:trHeight w:val="2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железобетонные напорные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здания (модули) (из металла),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здания (модули), кв.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компьютеров, электронных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и оптических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вычислительной техники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Магнитофоны и другие звукозаписывающие устройства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видеозаписи и воспроизведения бытовая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Приборы контроля и регулирования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технологических процессов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электроизмерительные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для физических исследований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техника и запасные части к ней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Шприцы однократного применения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оборудование и приспособления,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применяемые в медицинских целях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Дизели и дизель-генераторы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лс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 xml:space="preserve">дизель-генераторы высокоэффективные,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дизели тепловозные и для судостроения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лс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Электродвигатели переменного тока с высотой оси вращения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63–450 мм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электродвигатели переменного тока малой мощности для комплектования электробытовых приборов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Трансформаторы силовые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кВА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Преобразователи силовые полупроводниковые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мощностью 5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мегаВт/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силовые полупроводниковые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Электролампы осветительные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люминесцентные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Аккумуляторы и аккумуляторные батареи свинцовые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кабельные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</w:tr>
      <w:tr w:rsidR="00894D5B">
        <w:trPr>
          <w:trHeight w:val="76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кабели дальней и городской телефонной связи,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волоконнооптические кабели и провода для воздушных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линий электропередачи сечением 120 кв. мм и выше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низковольтная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высоковольтная электрическая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Электромашины крупные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Электропогрузчики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Гальванические элементы и батареи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электробытовых изделий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</w:t>
            </w:r>
          </w:p>
        </w:tc>
      </w:tr>
      <w:tr w:rsidR="00894D5B">
        <w:trPr>
          <w:trHeight w:val="36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 и морозильники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стиральные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утюги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 газовые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электросварочное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машин и оборудования,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не включенных в другие группировки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Турбины паровые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мегаВт/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Турбины газовые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мегаВт/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Подъемно-транспортное оборудование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металлургическое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оборудование прокатное (включая машины и оборудование непрерывного литья заготовок)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башенные грузоподъемностью 8 тонн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электротермическое промышленное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</w:tr>
      <w:tr w:rsidR="00894D5B">
        <w:trPr>
          <w:trHeight w:val="31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химическое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нефтегазоперерабатывающее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переработки полимерных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газоочистное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бумагоделательное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нефтепромысловое, буровое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геологоразведочное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Арматура промышленная трубопроводная,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задвижки и затворы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Станки металлорежущие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кузнечно-прессовые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кузнечно-прессовые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автоматические и полуавтоматические станочные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Линии автоматические и полуавтоматические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кузнечно-штамповочные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</w:p>
        </w:tc>
      </w:tr>
      <w:tr w:rsidR="00894D5B">
        <w:trPr>
          <w:trHeight w:val="76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Автоматические линии и комплекты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деревообрабатывающего оборудования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для производства столярных строительных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изделий и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Подшипники качения (без </w:t>
            </w:r>
            <w:r>
              <w:rPr>
                <w:sz w:val="20"/>
                <w:szCs w:val="20"/>
              </w:rPr>
              <w:t>велосипедных)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на автомобильном ходу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Тракторы (без минитракторов)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тракторы промышленные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тракторы трелевочные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тракторы 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Минитракторы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Машины и оборудование для животноводства 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кормопроизводства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сельскохозяйственные и запасные части к ним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Комбайны зерноуборочные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к тракторам и комбайнам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Запасные части к тракторам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</w:t>
            </w:r>
          </w:p>
        </w:tc>
      </w:tr>
      <w:tr w:rsidR="00894D5B">
        <w:trPr>
          <w:trHeight w:val="326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кода 3641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лифты пассажирские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Экскаваторы одноковшовые с ковшом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от 0,25 куб. м до 2,5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Экскаваторы с ковшом емкостью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Экскаваторы с ковшом емкостью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от 4 куб. м и более (включая шагающие)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стреловые самоходные автомобильного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типа на спецшасси грузоподъемностью 25–63 тонн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Скреперы, штук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Скреперы, тыс куб.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технологическое для перерабатывающих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отраслей агропромышленного комплекса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</w:p>
        </w:tc>
      </w:tr>
      <w:tr w:rsidR="00894D5B">
        <w:trPr>
          <w:trHeight w:val="6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технологическое и запасные части к нему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мукомольных, комбикормовых предприятий и зернохранилищ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технологическое для предприятий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строительной индустрии и строительных материалов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технологическое и запасные части к нему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предприятий торговли, общественного питания и пищеблоков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полиграфическое и запасные части к нему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швейные (бытовые)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и коммунальные машины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Автосамосвалы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Автопогрузчики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 к автомобилям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кода 3541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31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дизельные двигатели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Запасные части к автомобилям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(детали механической обработки)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Прицепы и полуприцепы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автомобильные и тракторные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3551</w:t>
            </w:r>
          </w:p>
        </w:tc>
      </w:tr>
      <w:tr w:rsidR="00894D5B">
        <w:trPr>
          <w:trHeight w:val="35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Производство прочих транспортных средств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оборудования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tabs>
                <w:tab w:val="center" w:pos="646"/>
                <w:tab w:val="left" w:pos="110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Вагоны грузовые магистральные, восьмиосные,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sz w:val="20"/>
                <w:szCs w:val="20"/>
              </w:rPr>
              <w:t>вагоны для метрополитенов, электропоездов и пассажирские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вагоны грузовые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вагоны пассажирские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вагоны для метрополитена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агоны для электропоездов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путевые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Тепловозы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лс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</w:tr>
      <w:tr w:rsidR="00894D5B">
        <w:trPr>
          <w:trHeight w:val="37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Электровозы магистральные 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восьмиосном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Электровозы магистральные </w:t>
            </w: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восьмиосном</w:t>
            </w:r>
            <w:r>
              <w:rPr>
                <w:sz w:val="20"/>
                <w:szCs w:val="20"/>
              </w:rPr>
              <w:t xml:space="preserve"> исчислении)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лс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Мотоциклы и мотороллеры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Велосипеды (без детских)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Мотоблоки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ремонту судов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</w:t>
            </w:r>
          </w:p>
        </w:tc>
      </w:tr>
      <w:tr w:rsidR="00894D5B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ремонту судов рыбной промышленности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</w:t>
            </w:r>
          </w:p>
        </w:tc>
      </w:tr>
      <w:tr w:rsidR="00894D5B">
        <w:trPr>
          <w:trHeight w:val="19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производству мебели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руб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электрической энергией, газом и паром;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электрической энергией, газом и паром;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Электростанции турбинные: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электростанции тепловые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мегаВт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электростанции атомные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мегаВт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гидроэлектростанции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мегаВт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Электростанции возобновляемых источников энергии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мегаВт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Дизельные электростанции в районах Крайнего Севера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мегаВт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электропередачи напряжением 35 кВ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35–110 кВ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220 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300–400 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500 кВ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кода 1120 в том числе: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6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линии электропередачи напряжением 35 кВ и выше </w:t>
            </w:r>
          </w:p>
          <w:p w:rsidR="00894D5B" w:rsidRDefault="00DC1760">
            <w:pPr>
              <w:ind w:left="26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электрификации сельского хозяйства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Линии электропередачи напряжением до 35 кВ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6–20 кВ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65880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кода 65880 в том числе:</w:t>
            </w:r>
          </w:p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линии электропередачи для электрификации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  сельского хозяйства напряжением 6–20 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напряжением 0,4 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кода 142 в том числе:</w:t>
            </w:r>
          </w:p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линии электропередачи для электрификации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  сельского хозяйства напряжением 0,4 кВ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7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7832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Трансформаторные понизительные подстанции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напряжением 35 кВ и выше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мегаВА/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для электрификации сельского хозяйства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мегаВА/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 </w:t>
            </w:r>
            <w:r>
              <w:rPr>
                <w:sz w:val="20"/>
                <w:szCs w:val="20"/>
              </w:rPr>
              <w:t>кВА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103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Трансформаторные понизительные подстанции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напряжением до 35 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мегаВА/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Котлы паровые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тепловые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Котлы водогрейные на теплоэлектроцентралях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гигакал/ч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по переработке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м</w:t>
            </w:r>
            <w:r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перераб газа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Компрессорные станции на магистральных газопроводах,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Компрессорные станции на магистральных газопроводах,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газовых промыслах и подземных хранилищах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мегаВт/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Газораспределительные станции, шт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Газораспределительные станции, куб м/час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 </w:t>
            </w:r>
            <w:r>
              <w:rPr>
                <w:sz w:val="20"/>
                <w:szCs w:val="20"/>
              </w:rPr>
              <w:t>построенные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 кода 545 – построенные за счет средств: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бюджетов субъектов Российской Федерации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 местных бюджетов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5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гигакал/ч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5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5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кодов 1549 и 550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29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гигакал/ч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54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26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к объектам сельскохозяйственного назначения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7783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из них для фермерских хозяйств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881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Распределительные газопроводы  к объектам производственного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Водоснабжение; водоотведение, организация сбора и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утилизации отходов, деятельность по ликвидации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загрязнений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Водопроводы магистральные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Внутрихозяйственный 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кодов 531 и 532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7786</w:t>
            </w:r>
          </w:p>
        </w:tc>
      </w:tr>
      <w:tr w:rsidR="00894D5B">
        <w:trPr>
          <w:trHeight w:val="2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кодов 538 и 539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3" w:firstLine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5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канализационные сети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сети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8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8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Колодцы шахтные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Буровые колодцы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 артезианские скважины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Торговля оптовая и розничная;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ремонт автотранспортных средств и мотоциклов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Торговля оптовая и розничная автотранспортными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средствами и мотоциклами и их ремонт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Станции технического обслуживания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легковых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Станции технического обслуживания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грузовых автомобилей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Автоцентр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дорожного сервиса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690"/>
                <w:tab w:val="center" w:pos="838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Автомойки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Автомойки (моечных постов)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894D5B">
        <w:trPr>
          <w:trHeight w:val="42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Торговля розничная, кроме торговли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автотранспортными средствами и мотоциклами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Торговые предприятия, торговая площадь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Рынки и павильоны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Торгово-развлекательные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Торгово-офисные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Торгово-выставочные комплексы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Автомобильные газозаправочные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станции сжиженного нефтяного газа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газонаполнительные компрессорные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железнодорожные линии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пути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Железнодорожные пути к производственным объектам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Трамвайные пути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Троллейбусные линии (одиночные)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Метрополитены, число станций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Метрополитены, линий в двухпутном исчислении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Аммиакопроводы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Нефтепроводы магистральные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Нефтепродуктопроводы магистральные региональные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Станции насосные на магистральных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нефтепроводах и нефтепродуктопроводах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Газопроводы магистральные и отводы от них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кода 1421 газопроводы-отводы высокого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давления для газификации села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Электрификация железных дорог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с твердым покрытием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Автомобильные дороги необщего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из них в сельском хозяйстве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том числе для фермерских хозяйств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Автомобильные дороги общего пользования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федерального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</w:t>
            </w:r>
          </w:p>
        </w:tc>
      </w:tr>
      <w:tr w:rsidR="00894D5B">
        <w:trPr>
          <w:trHeight w:val="18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местного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регионального или межмуниципального 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автомобильных дорог общего пользования: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щебеночные и гравийные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6515</w:t>
            </w:r>
          </w:p>
        </w:tc>
      </w:tr>
      <w:tr w:rsidR="00894D5B">
        <w:trPr>
          <w:trHeight w:val="40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щебеночных, гравийных и других материалов,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 xml:space="preserve">   обработанных вяжущими материалами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6516</w:t>
            </w:r>
          </w:p>
        </w:tc>
      </w:tr>
      <w:tr w:rsidR="00894D5B">
        <w:trPr>
          <w:trHeight w:val="2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Надземные (подземные) пешеходные переходы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Перегрузочные комплексы морских портов, пог. м причалов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Перегрузочные комплексы морских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морских портов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Механизированные причалы речных портов, пог. 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Механизированные причалы речных портов, млн. т груза в год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 т/год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Взлетно-посадочные полосы с твердым покрытием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Взлетно-посадочные полосы с твердым покрытием (тыс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14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Вертодромы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14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Вертодромы (тыс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Зерносклады механизированные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Хранилища для картофеля, овощей и фруктов для организаций торговли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</w:t>
            </w:r>
          </w:p>
        </w:tc>
      </w:tr>
      <w:tr w:rsidR="00894D5B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 для организаций торговли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картофеле- и овощехранилища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плодохранилища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Сырохранилища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5493</w:t>
            </w:r>
          </w:p>
        </w:tc>
      </w:tr>
      <w:tr w:rsidR="00894D5B">
        <w:trPr>
          <w:trHeight w:val="60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left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для хранения минеральных удобрений, ядохимикатов,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микробиологических средств и известковых материалов</w:t>
            </w:r>
          </w:p>
          <w:p w:rsidR="00894D5B" w:rsidRDefault="00894D5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</w:t>
            </w:r>
          </w:p>
        </w:tc>
      </w:tr>
      <w:tr w:rsidR="00894D5B">
        <w:trPr>
          <w:trHeight w:val="304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прирельсовые (пристанционные) склады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глубинные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7307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2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для хранения пылевидных известковых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удобрений и фосфоритной муки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для хранения органических удобрений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</w:t>
            </w:r>
          </w:p>
        </w:tc>
      </w:tr>
      <w:tr w:rsidR="00894D5B">
        <w:trPr>
          <w:trHeight w:val="510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81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510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для производства мясных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 молочных продуктов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</w:t>
            </w:r>
          </w:p>
        </w:tc>
      </w:tr>
      <w:tr w:rsidR="00894D5B">
        <w:trPr>
          <w:trHeight w:val="39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для рыбообрабатывающих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производств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</w:t>
            </w:r>
            <w:r>
              <w:rPr>
                <w:sz w:val="20"/>
                <w:szCs w:val="20"/>
              </w:rPr>
              <w:t xml:space="preserve"> хран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</w:t>
            </w:r>
          </w:p>
        </w:tc>
      </w:tr>
      <w:tr w:rsidR="00894D5B">
        <w:trPr>
          <w:trHeight w:val="27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 для организаций торговли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т единовр хран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Железнодорожные вокзалы, расчетной единовременной вместимости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130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Автовокзалы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Аэровокзалы, пропускная способность (пассажиров в час)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Мосты, количество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Мосты (пог.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 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Общетоварные склады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 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Нефтеемкости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Хранилища газа подземные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Узловые предприятия почтовой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гостиниц и предприятий общественного </w:t>
            </w:r>
            <w:r>
              <w:rPr>
                <w:b/>
                <w:sz w:val="20"/>
                <w:szCs w:val="20"/>
              </w:rPr>
              <w:br/>
              <w:t>питания</w:t>
            </w:r>
          </w:p>
          <w:p w:rsidR="00894D5B" w:rsidRDefault="00894D5B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(номеров)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</w:t>
            </w:r>
            <w:r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отдыха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отдыха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отдыха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отдыха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отдыха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Мотели</w:t>
            </w:r>
            <w:r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Мотели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Мотели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мотели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мотели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Кемпинги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Кемпинги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Кемпинги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кемпинги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кемпинги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</w:tr>
      <w:tr w:rsidR="00894D5B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(единиц)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</w:tr>
      <w:tr w:rsidR="00894D5B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(номеров)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</w:tr>
      <w:tr w:rsidR="00894D5B">
        <w:trPr>
          <w:trHeight w:val="223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(мест)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894D5B">
        <w:trPr>
          <w:trHeight w:val="22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23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с материалом 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</w:t>
            </w:r>
          </w:p>
        </w:tc>
      </w:tr>
      <w:tr w:rsidR="00894D5B">
        <w:trPr>
          <w:trHeight w:val="22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оздоровительные лагеря (единиц)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оздоровительные лагеря (номеров)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оздоровительные лагеря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по предоставлению продуктов питания </w:t>
            </w:r>
            <w:r>
              <w:rPr>
                <w:b/>
                <w:sz w:val="20"/>
                <w:szCs w:val="20"/>
              </w:rPr>
              <w:br/>
              <w:t>и напитков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Телевизионные станции мощностью 1 квт и выше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Спутниковые наземные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Междугородные кабельные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Космические аппараты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894D5B">
        <w:trPr>
          <w:trHeight w:val="31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Радиорелейные линии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Радиовещательные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АТС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АТС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Маломощные ретрансляторы УКВ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6715</w:t>
            </w:r>
          </w:p>
        </w:tc>
      </w:tr>
      <w:tr w:rsidR="00894D5B">
        <w:trPr>
          <w:trHeight w:val="24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Международные телефонные станции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</w:t>
            </w:r>
          </w:p>
        </w:tc>
      </w:tr>
      <w:tr w:rsidR="00894D5B">
        <w:trPr>
          <w:trHeight w:val="20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радиотелефонная связь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 ном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Антенно-мачтовые сооружения для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Антенно-мачтовое сооружение цифрового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наземного телерадиовещания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сотовой связи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Волоконно-оптические линии связи (передачи)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гаражи, единиц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гаражи, количество машиномест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Ветеринарные пункты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tcBorders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ветеринарные пункты, с материалом стен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 дерева (посещ/смен)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ветеринарные пункты, с материалом стен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Государственное управление и обеспечение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военной безопасности; социальное обеспечение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органов государственного управления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 xml:space="preserve">по обеспечению военной безопасности, обязательному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социальному обеспечению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пропуска через государственную границу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894D5B">
        <w:trPr>
          <w:trHeight w:val="10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 (Подразделения пожарной охраны)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4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4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 с материалом </w:t>
            </w:r>
          </w:p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 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дошкольные образовательные организации </w:t>
            </w:r>
          </w:p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дошкольные образовательные организации </w:t>
            </w:r>
          </w:p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894D5B">
        <w:trPr>
          <w:trHeight w:val="708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13" w:hanging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дошкольные образовательные организации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детей в возрасте до трех лет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дошкольные образовательные организации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для детей в возрасте до трех лет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4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 с материалом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стен из дерева (учен 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 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</w:t>
            </w:r>
          </w:p>
        </w:tc>
      </w:tr>
      <w:tr w:rsidR="00894D5B">
        <w:trPr>
          <w:trHeight w:val="9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5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общеобразовательные организации в сельской местности с материалом стен из дерева (учен 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общеобразовательные организации с материалом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51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общеобразовательные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общеобразовательные организации 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894D5B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left" w:pos="1050"/>
              </w:tabs>
              <w:ind w:lef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общеобразовательные организации, построенные за счет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софинансирования</w:t>
            </w:r>
            <w:r>
              <w:rPr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</w:tr>
      <w:tr w:rsidR="00894D5B">
        <w:trPr>
          <w:trHeight w:val="37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образовательные организации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уч лаб здан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</w:tr>
      <w:tr w:rsidR="00894D5B">
        <w:trPr>
          <w:trHeight w:val="352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 высшего образования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уч лаб здан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</w:tr>
      <w:tr w:rsidR="00894D5B">
        <w:trPr>
          <w:trHeight w:val="29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искусств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</w:tr>
      <w:tr w:rsidR="00894D5B">
        <w:trPr>
          <w:trHeight w:val="13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школы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94D5B">
        <w:trPr>
          <w:trHeight w:val="13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346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школы с материалом стен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 дерева (мест)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</w:tr>
      <w:tr w:rsidR="00894D5B">
        <w:trPr>
          <w:trHeight w:val="291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школы с материалом стен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30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894D5B">
        <w:trPr>
          <w:trHeight w:val="283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27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больничные организации 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больничные организации в сельской местности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больничные организации в сельской местности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</w:t>
            </w:r>
          </w:p>
        </w:tc>
      </w:tr>
      <w:tr w:rsidR="00894D5B">
        <w:trPr>
          <w:trHeight w:val="26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больницы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родильные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перинатальные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</w:tr>
      <w:tr w:rsidR="00894D5B">
        <w:trPr>
          <w:trHeight w:val="276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-1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Амбулаторно-поликлинические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амбулаторно-поликлинические организации </w:t>
            </w:r>
          </w:p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tcBorders>
              <w:top w:val="none" w:sz="4" w:space="0" w:color="000000"/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амбулаторно-поликлинические организации в сельской местности с материалом стен из дерева (посещ/смен)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амбулаторно-поликлинические организации в сельской 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фельдшерско-акушерские пункты в населенных пунктах </w:t>
            </w:r>
          </w:p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численностью 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врачебные амбулатории в населенных пунктах с численностью </w:t>
            </w:r>
          </w:p>
          <w:p w:rsidR="00894D5B" w:rsidRDefault="00DC1760">
            <w:pPr>
              <w:ind w:left="17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человек до 2 тыс. человек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</w:tr>
      <w:tr w:rsidR="00894D5B">
        <w:trPr>
          <w:trHeight w:val="366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поликлиники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женские консультации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посещ/смен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ребенка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санатории с материалом стен из дерева (коек)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центры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Дома-интернаты для престарелых, инвалидов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(взрослых и детей)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Дома-интернаты для ветеранов труда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дома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в области культуры, спорта, </w:t>
            </w:r>
            <w:r>
              <w:rPr>
                <w:b/>
                <w:sz w:val="20"/>
                <w:szCs w:val="20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организации досуга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творческая, деятельность в области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искусства и организации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Концертные и киноконцертные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7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учреждения культуры клубного типа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894D5B">
        <w:trPr>
          <w:trHeight w:val="12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культуры клубного типа в сельской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местности с материалом стен из дерева (мест)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культуры клубного типа в сельской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местности 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библиотек, архивов, музеев и прочих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объектов культуры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3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 том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книжн фонд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</w:tr>
      <w:tr w:rsidR="00894D5B">
        <w:trPr>
          <w:trHeight w:val="284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по организации и проведению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азартных игр и заключению пари, по организации </w:t>
            </w:r>
          </w:p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проведению лотерей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73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Казино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Плавательные бассейны (с длиной дорожек 25 и 50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Плавательные бассейны (с длиной дорожек 25 и 50 м),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зеркало воды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сооружения с искусственным льдом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center" w:pos="1482"/>
                <w:tab w:val="left" w:pos="20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2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bottom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tabs>
                <w:tab w:val="center" w:pos="1482"/>
                <w:tab w:val="left" w:pos="205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физкультурно-оздоровительные комплексы,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(единиц)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tcBorders>
              <w:top w:val="non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center" w:pos="1482"/>
                <w:tab w:val="left" w:pos="20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left="39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физкультурно-оздоровительные комплексы,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с материалом стен из дерева (кв. м)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tabs>
                <w:tab w:val="center" w:pos="1482"/>
                <w:tab w:val="left" w:pos="20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Горнолыжная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Санно-бобслейная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Лыжероллерная трасса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</w:tr>
      <w:tr w:rsidR="00894D5B">
        <w:trPr>
          <w:trHeight w:val="2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Горнолыжные подъемники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894D5B">
        <w:trPr>
          <w:trHeight w:val="510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Плоскостные спортивные сооружения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(футбольные поля, игровые площадки и другие)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894D5B">
        <w:trPr>
          <w:trHeight w:val="157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Аквапарки закрытого типа (человек в день)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общественных организаций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Культовые сооружения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компьютеров, предметов личного потребления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и хозяйственно-бытового назначения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Комбинаты бытового обслуживания населения и дома быта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Деятельность по предоставлению прочих персональных </w:t>
            </w:r>
            <w:r>
              <w:rPr>
                <w:rFonts w:eastAsia="Calibri"/>
                <w:lang w:eastAsia="en-US"/>
              </w:rPr>
              <w:br w:type="textWrapping" w:clear="all"/>
            </w:r>
            <w:r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894D5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4D5B">
        <w:trPr>
          <w:trHeight w:val="255"/>
        </w:trPr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</w:tr>
      <w:tr w:rsidR="00894D5B">
        <w:trPr>
          <w:trHeight w:val="255"/>
        </w:trPr>
        <w:tc>
          <w:tcPr>
            <w:tcW w:w="993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Салоны красоты (парикмахерские)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 мест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D5B" w:rsidRDefault="00DC17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</w:tbl>
    <w:p w:rsidR="00894D5B" w:rsidRDefault="00894D5B">
      <w:pPr>
        <w:ind w:firstLine="0"/>
        <w:jc w:val="left"/>
        <w:rPr>
          <w:sz w:val="24"/>
          <w:szCs w:val="24"/>
          <w:vertAlign w:val="superscript"/>
        </w:rPr>
      </w:pPr>
    </w:p>
    <w:p w:rsidR="00894D5B" w:rsidRDefault="00DC1760">
      <w:pPr>
        <w:tabs>
          <w:tab w:val="left" w:pos="1080"/>
        </w:tabs>
        <w:spacing w:before="400" w:line="360" w:lineRule="auto"/>
        <w:ind w:firstLine="0"/>
        <w:jc w:val="center"/>
        <w:rPr>
          <w:bCs/>
        </w:rPr>
      </w:pPr>
      <w:r>
        <w:rPr>
          <w:bCs/>
        </w:rPr>
        <w:t>––––––––––––</w:t>
      </w:r>
    </w:p>
    <w:sectPr w:rsidR="00894D5B">
      <w:headerReference w:type="default" r:id="rId18"/>
      <w:footerReference w:type="default" r:id="rId19"/>
      <w:pgSz w:w="11906" w:h="16838"/>
      <w:pgMar w:top="1134" w:right="567" w:bottom="851" w:left="1701" w:header="454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60" w:rsidRDefault="00DC1760">
      <w:r>
        <w:separator/>
      </w:r>
    </w:p>
  </w:endnote>
  <w:endnote w:type="continuationSeparator" w:id="0">
    <w:p w:rsidR="00DC1760" w:rsidRDefault="00D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default"/>
  </w:font>
  <w:font w:name="Arial CYR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5B" w:rsidRDefault="00894D5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60" w:rsidRDefault="00DC1760">
      <w:r>
        <w:separator/>
      </w:r>
    </w:p>
  </w:footnote>
  <w:footnote w:type="continuationSeparator" w:id="0">
    <w:p w:rsidR="00DC1760" w:rsidRDefault="00DC1760">
      <w:r>
        <w:continuationSeparator/>
      </w:r>
    </w:p>
  </w:footnote>
  <w:footnote w:id="1">
    <w:p w:rsidR="00894D5B" w:rsidRDefault="00DC1760">
      <w:pPr>
        <w:tabs>
          <w:tab w:val="left" w:pos="709"/>
        </w:tabs>
        <w:rPr>
          <w:iCs/>
          <w:sz w:val="36"/>
        </w:rPr>
      </w:pPr>
      <w:r>
        <w:rPr>
          <w:rStyle w:val="af6"/>
          <w:sz w:val="18"/>
          <w:szCs w:val="18"/>
        </w:rPr>
        <w:footnoteRef/>
      </w:r>
      <w:r>
        <w:t xml:space="preserve"> </w:t>
      </w:r>
      <w:r>
        <w:rPr>
          <w:iCs/>
          <w:sz w:val="18"/>
          <w:szCs w:val="18"/>
        </w:rPr>
        <w:t xml:space="preserve">Обособленное подразделение организации </w:t>
      </w:r>
      <w:r>
        <w:rPr>
          <w:bCs/>
          <w:sz w:val="18"/>
          <w:szCs w:val="18"/>
        </w:rPr>
        <w:t xml:space="preserve">– </w:t>
      </w:r>
      <w:r>
        <w:rPr>
          <w:iCs/>
          <w:sz w:val="18"/>
          <w:szCs w:val="18"/>
        </w:rPr>
        <w:t xml:space="preserve">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</w:t>
      </w:r>
      <w:r>
        <w:rPr>
          <w:iCs/>
          <w:sz w:val="18"/>
          <w:szCs w:val="18"/>
        </w:rPr>
        <w:t xml:space="preserve">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</w:t>
      </w:r>
      <w:hyperlink r:id="rId1" w:tooltip="consultantplus://offline/ref=B85D92A8521CAB96DE090386102631900BD913158CD1BC675F7A9D74E82E4AFFE5343DBB29570EA9MEp7K" w:history="1">
        <w:r>
          <w:rPr>
            <w:iCs/>
            <w:sz w:val="18"/>
            <w:szCs w:val="18"/>
          </w:rPr>
          <w:t>рабочее место</w:t>
        </w:r>
      </w:hyperlink>
      <w:r>
        <w:rPr>
          <w:iCs/>
          <w:sz w:val="18"/>
          <w:szCs w:val="18"/>
        </w:rPr>
        <w:t xml:space="preserve"> считается стационарным, если оно создается на срок более одного месяца  (пункт 2  статьи 11 Налог</w:t>
      </w:r>
      <w:r>
        <w:rPr>
          <w:iCs/>
          <w:sz w:val="18"/>
          <w:szCs w:val="18"/>
        </w:rPr>
        <w:t>ового кодекса Российской Федерации).</w:t>
      </w:r>
    </w:p>
    <w:p w:rsidR="00894D5B" w:rsidRDefault="00894D5B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5B" w:rsidRDefault="00DC176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F74DD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D17"/>
    <w:multiLevelType w:val="hybridMultilevel"/>
    <w:tmpl w:val="AD7AC7FA"/>
    <w:lvl w:ilvl="0" w:tplc="75EEB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67C12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5681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23026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8556AD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DDA7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51CF4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2B6ADE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876B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0A23C4"/>
    <w:multiLevelType w:val="hybridMultilevel"/>
    <w:tmpl w:val="04190021"/>
    <w:lvl w:ilvl="0" w:tplc="895E7F7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A6D255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 w:tplc="755014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0894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BF4C609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0E3ED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666CD77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 w:tplc="0742A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B492B50A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285200D"/>
    <w:multiLevelType w:val="hybridMultilevel"/>
    <w:tmpl w:val="7E502AF2"/>
    <w:lvl w:ilvl="0" w:tplc="0DA01802">
      <w:start w:val="8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</w:rPr>
    </w:lvl>
    <w:lvl w:ilvl="1" w:tplc="793A0838">
      <w:start w:val="1"/>
      <w:numFmt w:val="bullet"/>
      <w:lvlText w:val="o"/>
      <w:lvlJc w:val="left"/>
      <w:pPr>
        <w:ind w:left="1210" w:hanging="360"/>
      </w:pPr>
      <w:rPr>
        <w:rFonts w:ascii="Courier New" w:hAnsi="Courier New"/>
      </w:rPr>
    </w:lvl>
    <w:lvl w:ilvl="2" w:tplc="C3728B26">
      <w:start w:val="1"/>
      <w:numFmt w:val="bullet"/>
      <w:lvlText w:val=""/>
      <w:lvlJc w:val="left"/>
      <w:pPr>
        <w:ind w:left="1930" w:hanging="360"/>
      </w:pPr>
      <w:rPr>
        <w:rFonts w:ascii="Wingdings" w:hAnsi="Wingdings"/>
      </w:rPr>
    </w:lvl>
    <w:lvl w:ilvl="3" w:tplc="D84A0C7A">
      <w:start w:val="1"/>
      <w:numFmt w:val="bullet"/>
      <w:lvlText w:val=""/>
      <w:lvlJc w:val="left"/>
      <w:pPr>
        <w:ind w:left="2650" w:hanging="360"/>
      </w:pPr>
      <w:rPr>
        <w:rFonts w:ascii="Symbol" w:hAnsi="Symbol"/>
      </w:rPr>
    </w:lvl>
    <w:lvl w:ilvl="4" w:tplc="1E480344">
      <w:start w:val="1"/>
      <w:numFmt w:val="bullet"/>
      <w:lvlText w:val="o"/>
      <w:lvlJc w:val="left"/>
      <w:pPr>
        <w:ind w:left="3370" w:hanging="360"/>
      </w:pPr>
      <w:rPr>
        <w:rFonts w:ascii="Courier New" w:hAnsi="Courier New"/>
      </w:rPr>
    </w:lvl>
    <w:lvl w:ilvl="5" w:tplc="C7D48F26">
      <w:start w:val="1"/>
      <w:numFmt w:val="bullet"/>
      <w:lvlText w:val=""/>
      <w:lvlJc w:val="left"/>
      <w:pPr>
        <w:ind w:left="4090" w:hanging="360"/>
      </w:pPr>
      <w:rPr>
        <w:rFonts w:ascii="Wingdings" w:hAnsi="Wingdings"/>
      </w:rPr>
    </w:lvl>
    <w:lvl w:ilvl="6" w:tplc="210C40B6">
      <w:start w:val="1"/>
      <w:numFmt w:val="bullet"/>
      <w:lvlText w:val=""/>
      <w:lvlJc w:val="left"/>
      <w:pPr>
        <w:ind w:left="4810" w:hanging="360"/>
      </w:pPr>
      <w:rPr>
        <w:rFonts w:ascii="Symbol" w:hAnsi="Symbol"/>
      </w:rPr>
    </w:lvl>
    <w:lvl w:ilvl="7" w:tplc="E52ECC92">
      <w:start w:val="1"/>
      <w:numFmt w:val="bullet"/>
      <w:lvlText w:val="o"/>
      <w:lvlJc w:val="left"/>
      <w:pPr>
        <w:ind w:left="5530" w:hanging="360"/>
      </w:pPr>
      <w:rPr>
        <w:rFonts w:ascii="Courier New" w:hAnsi="Courier New"/>
      </w:rPr>
    </w:lvl>
    <w:lvl w:ilvl="8" w:tplc="A2368684">
      <w:start w:val="1"/>
      <w:numFmt w:val="bullet"/>
      <w:lvlText w:val=""/>
      <w:lvlJc w:val="left"/>
      <w:pPr>
        <w:ind w:left="6250" w:hanging="360"/>
      </w:pPr>
      <w:rPr>
        <w:rFonts w:ascii="Wingdings" w:hAnsi="Wingdings"/>
      </w:rPr>
    </w:lvl>
  </w:abstractNum>
  <w:abstractNum w:abstractNumId="3" w15:restartNumberingAfterBreak="0">
    <w:nsid w:val="139458F5"/>
    <w:multiLevelType w:val="hybridMultilevel"/>
    <w:tmpl w:val="04190021"/>
    <w:lvl w:ilvl="0" w:tplc="00FE880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CC568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 w:tplc="39002AC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 w:tplc="03D449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 w:tplc="5E80EDD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 w:tplc="8046A1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 w:tplc="2D989CE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 w:tplc="B3FC5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 w:tplc="F36E4872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151F01BC"/>
    <w:multiLevelType w:val="hybridMultilevel"/>
    <w:tmpl w:val="686A2E56"/>
    <w:lvl w:ilvl="0" w:tplc="E8247086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21120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56FC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E646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F23C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1A99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143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2060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3CB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B2D3E2A"/>
    <w:multiLevelType w:val="hybridMultilevel"/>
    <w:tmpl w:val="132012FA"/>
    <w:lvl w:ilvl="0" w:tplc="74F0B3D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/>
      </w:rPr>
    </w:lvl>
    <w:lvl w:ilvl="1" w:tplc="E6F625F6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D0421D6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58C84CFE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3432B51E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DEB2FE48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B21EA350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5BA3B2A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2244D4EE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24F915E6"/>
    <w:multiLevelType w:val="multilevel"/>
    <w:tmpl w:val="31584742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</w:lvl>
    <w:lvl w:ilvl="1">
      <w:start w:val="1"/>
      <w:numFmt w:val="decimal"/>
      <w:pStyle w:val="a"/>
      <w:lvlText w:val="%1.%2."/>
      <w:lvlJc w:val="left"/>
      <w:pPr>
        <w:tabs>
          <w:tab w:val="num" w:pos="774"/>
        </w:tabs>
        <w:ind w:left="0" w:firstLine="414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7" w15:restartNumberingAfterBreak="0">
    <w:nsid w:val="27192E46"/>
    <w:multiLevelType w:val="hybridMultilevel"/>
    <w:tmpl w:val="F956E2E4"/>
    <w:lvl w:ilvl="0" w:tplc="C14CF4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46E8C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CAC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661F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3825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6491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AC0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6067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7404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2343A62"/>
    <w:multiLevelType w:val="hybridMultilevel"/>
    <w:tmpl w:val="0390119C"/>
    <w:lvl w:ilvl="0" w:tplc="F8F2E87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9DD0BD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9A63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B4B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C040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08A1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0C9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C427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46B4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2AB7693"/>
    <w:multiLevelType w:val="hybridMultilevel"/>
    <w:tmpl w:val="8D707C3E"/>
    <w:lvl w:ilvl="0" w:tplc="EC10E19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97668DE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E5662C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239A24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83D8920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442C9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D0EA29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B9FC968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A8B479F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 w15:restartNumberingAfterBreak="0">
    <w:nsid w:val="3FCA7495"/>
    <w:multiLevelType w:val="hybridMultilevel"/>
    <w:tmpl w:val="968C0E2A"/>
    <w:lvl w:ilvl="0" w:tplc="DE9A5256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b w:val="0"/>
        <w:i w:val="0"/>
        <w:caps w:val="0"/>
        <w:strike w:val="0"/>
        <w:vanish w:val="0"/>
        <w:spacing w:val="-20"/>
        <w:position w:val="0"/>
        <w:sz w:val="24"/>
        <w:szCs w:val="24"/>
        <w:vertAlign w:val="baseline"/>
      </w:rPr>
    </w:lvl>
    <w:lvl w:ilvl="1" w:tplc="2A58BCB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2" w:tplc="6C66F2AC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 w:tplc="457AB072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</w:lvl>
    <w:lvl w:ilvl="4" w:tplc="82F2EB88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</w:lvl>
    <w:lvl w:ilvl="5" w:tplc="79FAED4C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</w:lvl>
    <w:lvl w:ilvl="6" w:tplc="386C198E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</w:lvl>
    <w:lvl w:ilvl="7" w:tplc="CC880CB8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</w:lvl>
    <w:lvl w:ilvl="8" w:tplc="485C6E8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</w:lvl>
  </w:abstractNum>
  <w:abstractNum w:abstractNumId="11" w15:restartNumberingAfterBreak="0">
    <w:nsid w:val="414111C8"/>
    <w:multiLevelType w:val="hybridMultilevel"/>
    <w:tmpl w:val="9CA84B68"/>
    <w:lvl w:ilvl="0" w:tplc="4B0A1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E8BA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56B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FE48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366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182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7678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C8EA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8047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88F5B87"/>
    <w:multiLevelType w:val="hybridMultilevel"/>
    <w:tmpl w:val="35D6A7EE"/>
    <w:lvl w:ilvl="0" w:tplc="BF4443BA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CB4483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26B2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681C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749A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7C69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D2DD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069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6E87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9516B46"/>
    <w:multiLevelType w:val="hybridMultilevel"/>
    <w:tmpl w:val="58C85058"/>
    <w:lvl w:ilvl="0" w:tplc="9844E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8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28F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ED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E0D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54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8F5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AE9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EEF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41B82"/>
    <w:multiLevelType w:val="hybridMultilevel"/>
    <w:tmpl w:val="12AA4C76"/>
    <w:lvl w:ilvl="0" w:tplc="9E501482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386E5D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64A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F60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38F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A6A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DAB8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0A26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6EA3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4905E69"/>
    <w:multiLevelType w:val="hybridMultilevel"/>
    <w:tmpl w:val="50DC9A06"/>
    <w:lvl w:ilvl="0" w:tplc="4FA6F53E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FC46C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E898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E86E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D86F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C40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4AD0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303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AC4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5B2601F"/>
    <w:multiLevelType w:val="hybridMultilevel"/>
    <w:tmpl w:val="86C244A4"/>
    <w:lvl w:ilvl="0" w:tplc="B50C3464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553A10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00DD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ACAB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20F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EE3F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3EA7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889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2EBB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E67564B"/>
    <w:multiLevelType w:val="hybridMultilevel"/>
    <w:tmpl w:val="A8288156"/>
    <w:lvl w:ilvl="0" w:tplc="2DFECC1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D80831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7ED9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C01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3E6F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8865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144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D0A9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1E3D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31C07D6"/>
    <w:multiLevelType w:val="hybridMultilevel"/>
    <w:tmpl w:val="834EA6F6"/>
    <w:lvl w:ilvl="0" w:tplc="AF7256D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3236B596">
      <w:start w:val="1"/>
      <w:numFmt w:val="lowerLetter"/>
      <w:lvlText w:val="%2."/>
      <w:lvlJc w:val="left"/>
      <w:pPr>
        <w:ind w:left="1440" w:hanging="360"/>
      </w:pPr>
    </w:lvl>
    <w:lvl w:ilvl="2" w:tplc="B1C2D9A8">
      <w:start w:val="1"/>
      <w:numFmt w:val="lowerRoman"/>
      <w:lvlText w:val="%3."/>
      <w:lvlJc w:val="right"/>
      <w:pPr>
        <w:ind w:left="2160" w:hanging="180"/>
      </w:pPr>
    </w:lvl>
    <w:lvl w:ilvl="3" w:tplc="A9CEE212">
      <w:start w:val="1"/>
      <w:numFmt w:val="decimal"/>
      <w:lvlText w:val="%4."/>
      <w:lvlJc w:val="left"/>
      <w:pPr>
        <w:ind w:left="2880" w:hanging="360"/>
      </w:pPr>
    </w:lvl>
    <w:lvl w:ilvl="4" w:tplc="8BDCF88A">
      <w:start w:val="1"/>
      <w:numFmt w:val="lowerLetter"/>
      <w:lvlText w:val="%5."/>
      <w:lvlJc w:val="left"/>
      <w:pPr>
        <w:ind w:left="3600" w:hanging="360"/>
      </w:pPr>
    </w:lvl>
    <w:lvl w:ilvl="5" w:tplc="6832B2FE">
      <w:start w:val="1"/>
      <w:numFmt w:val="lowerRoman"/>
      <w:lvlText w:val="%6."/>
      <w:lvlJc w:val="right"/>
      <w:pPr>
        <w:ind w:left="4320" w:hanging="180"/>
      </w:pPr>
    </w:lvl>
    <w:lvl w:ilvl="6" w:tplc="61C2CF9A">
      <w:start w:val="1"/>
      <w:numFmt w:val="decimal"/>
      <w:lvlText w:val="%7."/>
      <w:lvlJc w:val="left"/>
      <w:pPr>
        <w:ind w:left="5040" w:hanging="360"/>
      </w:pPr>
    </w:lvl>
    <w:lvl w:ilvl="7" w:tplc="FFA85BFC">
      <w:start w:val="1"/>
      <w:numFmt w:val="lowerLetter"/>
      <w:lvlText w:val="%8."/>
      <w:lvlJc w:val="left"/>
      <w:pPr>
        <w:ind w:left="5760" w:hanging="360"/>
      </w:pPr>
    </w:lvl>
    <w:lvl w:ilvl="8" w:tplc="24CADD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56C76"/>
    <w:multiLevelType w:val="multilevel"/>
    <w:tmpl w:val="06B84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6E0B58ED"/>
    <w:multiLevelType w:val="hybridMultilevel"/>
    <w:tmpl w:val="712ACBD8"/>
    <w:lvl w:ilvl="0" w:tplc="AE8835B8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570CE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B647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FEA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5483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7C6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6E6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F00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1641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FF97BA5"/>
    <w:multiLevelType w:val="hybridMultilevel"/>
    <w:tmpl w:val="9ABA48CC"/>
    <w:lvl w:ilvl="0" w:tplc="3F144D6E">
      <w:start w:val="1"/>
      <w:numFmt w:val="decimal"/>
      <w:lvlText w:val="%1."/>
      <w:lvlJc w:val="left"/>
      <w:pPr>
        <w:ind w:left="1744" w:hanging="1035"/>
      </w:pPr>
    </w:lvl>
    <w:lvl w:ilvl="1" w:tplc="EDE891E0">
      <w:start w:val="1"/>
      <w:numFmt w:val="lowerLetter"/>
      <w:lvlText w:val="%2."/>
      <w:lvlJc w:val="left"/>
      <w:pPr>
        <w:ind w:left="1789" w:hanging="360"/>
      </w:pPr>
    </w:lvl>
    <w:lvl w:ilvl="2" w:tplc="D664428A">
      <w:start w:val="1"/>
      <w:numFmt w:val="lowerRoman"/>
      <w:lvlText w:val="%3."/>
      <w:lvlJc w:val="right"/>
      <w:pPr>
        <w:ind w:left="2509" w:hanging="180"/>
      </w:pPr>
    </w:lvl>
    <w:lvl w:ilvl="3" w:tplc="0D863A80">
      <w:start w:val="1"/>
      <w:numFmt w:val="decimal"/>
      <w:lvlText w:val="%4."/>
      <w:lvlJc w:val="left"/>
      <w:pPr>
        <w:ind w:left="3229" w:hanging="360"/>
      </w:pPr>
    </w:lvl>
    <w:lvl w:ilvl="4" w:tplc="97C2798E">
      <w:start w:val="1"/>
      <w:numFmt w:val="lowerLetter"/>
      <w:lvlText w:val="%5."/>
      <w:lvlJc w:val="left"/>
      <w:pPr>
        <w:ind w:left="3949" w:hanging="360"/>
      </w:pPr>
    </w:lvl>
    <w:lvl w:ilvl="5" w:tplc="B0683090">
      <w:start w:val="1"/>
      <w:numFmt w:val="lowerRoman"/>
      <w:lvlText w:val="%6."/>
      <w:lvlJc w:val="right"/>
      <w:pPr>
        <w:ind w:left="4669" w:hanging="180"/>
      </w:pPr>
    </w:lvl>
    <w:lvl w:ilvl="6" w:tplc="6A5EEE64">
      <w:start w:val="1"/>
      <w:numFmt w:val="decimal"/>
      <w:lvlText w:val="%7."/>
      <w:lvlJc w:val="left"/>
      <w:pPr>
        <w:ind w:left="5389" w:hanging="360"/>
      </w:pPr>
    </w:lvl>
    <w:lvl w:ilvl="7" w:tplc="1A02299E">
      <w:start w:val="1"/>
      <w:numFmt w:val="lowerLetter"/>
      <w:lvlText w:val="%8."/>
      <w:lvlJc w:val="left"/>
      <w:pPr>
        <w:ind w:left="6109" w:hanging="360"/>
      </w:pPr>
    </w:lvl>
    <w:lvl w:ilvl="8" w:tplc="E79E3706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B5A28"/>
    <w:multiLevelType w:val="hybridMultilevel"/>
    <w:tmpl w:val="0BBC9C40"/>
    <w:lvl w:ilvl="0" w:tplc="B008AC3E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5C745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E250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C4C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AE0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04D1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BA2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C0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262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CC02904"/>
    <w:multiLevelType w:val="hybridMultilevel"/>
    <w:tmpl w:val="85069780"/>
    <w:lvl w:ilvl="0" w:tplc="728E4C68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A2E4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DC8D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E67F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C00A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E02D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902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1AFC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8039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22"/>
  </w:num>
  <w:num w:numId="5">
    <w:abstractNumId w:val="8"/>
  </w:num>
  <w:num w:numId="6">
    <w:abstractNumId w:val="14"/>
  </w:num>
  <w:num w:numId="7">
    <w:abstractNumId w:val="16"/>
  </w:num>
  <w:num w:numId="8">
    <w:abstractNumId w:val="17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19"/>
  </w:num>
  <w:num w:numId="14">
    <w:abstractNumId w:val="18"/>
  </w:num>
  <w:num w:numId="15">
    <w:abstractNumId w:val="11"/>
  </w:num>
  <w:num w:numId="16">
    <w:abstractNumId w:val="13"/>
  </w:num>
  <w:num w:numId="17">
    <w:abstractNumId w:val="1"/>
  </w:num>
  <w:num w:numId="18">
    <w:abstractNumId w:val="3"/>
  </w:num>
  <w:num w:numId="19">
    <w:abstractNumId w:val="7"/>
  </w:num>
  <w:num w:numId="20">
    <w:abstractNumId w:val="9"/>
  </w:num>
  <w:num w:numId="21">
    <w:abstractNumId w:val="2"/>
  </w:num>
  <w:num w:numId="22">
    <w:abstractNumId w:val="2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B"/>
    <w:rsid w:val="00894D5B"/>
    <w:rsid w:val="008F74DD"/>
    <w:rsid w:val="00D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A3B2-0D6E-47B3-8E5F-B44A869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2"/>
    <w:next w:val="a2"/>
    <w:link w:val="12"/>
    <w:pPr>
      <w:keepNext/>
      <w:spacing w:before="120" w:line="240" w:lineRule="exact"/>
      <w:ind w:firstLine="0"/>
      <w:jc w:val="center"/>
      <w:outlineLvl w:val="0"/>
    </w:pPr>
    <w:rPr>
      <w:sz w:val="24"/>
      <w:szCs w:val="20"/>
      <w:lang w:val="en-US"/>
    </w:rPr>
  </w:style>
  <w:style w:type="paragraph" w:styleId="21">
    <w:name w:val="heading 2"/>
    <w:basedOn w:val="a2"/>
    <w:next w:val="a2"/>
    <w:link w:val="22"/>
    <w:pPr>
      <w:keepNext/>
      <w:ind w:firstLine="0"/>
      <w:jc w:val="left"/>
      <w:outlineLvl w:val="1"/>
    </w:pPr>
    <w:rPr>
      <w:i/>
      <w:sz w:val="24"/>
      <w:szCs w:val="20"/>
      <w:lang w:val="en-US"/>
    </w:rPr>
  </w:style>
  <w:style w:type="paragraph" w:styleId="31">
    <w:name w:val="heading 3"/>
    <w:basedOn w:val="a2"/>
    <w:next w:val="a2"/>
    <w:link w:val="32"/>
    <w:pPr>
      <w:keepNext/>
      <w:ind w:firstLine="720"/>
      <w:outlineLvl w:val="2"/>
    </w:pPr>
    <w:rPr>
      <w:b/>
      <w:szCs w:val="20"/>
      <w:lang w:val="en-US"/>
    </w:rPr>
  </w:style>
  <w:style w:type="paragraph" w:styleId="41">
    <w:name w:val="heading 4"/>
    <w:basedOn w:val="a2"/>
    <w:next w:val="a2"/>
    <w:link w:val="42"/>
    <w:pPr>
      <w:keepNext/>
      <w:ind w:firstLine="0"/>
      <w:jc w:val="right"/>
      <w:outlineLvl w:val="3"/>
    </w:pPr>
    <w:rPr>
      <w:b/>
      <w:bCs/>
      <w:sz w:val="24"/>
      <w:szCs w:val="20"/>
      <w:lang w:val="en-US"/>
    </w:rPr>
  </w:style>
  <w:style w:type="paragraph" w:styleId="51">
    <w:name w:val="heading 5"/>
    <w:basedOn w:val="a2"/>
    <w:next w:val="a2"/>
    <w:link w:val="52"/>
    <w:pPr>
      <w:keepNext/>
      <w:spacing w:before="120"/>
      <w:outlineLvl w:val="4"/>
    </w:pPr>
    <w:rPr>
      <w:sz w:val="24"/>
      <w:szCs w:val="20"/>
      <w:lang w:val="en-US"/>
    </w:rPr>
  </w:style>
  <w:style w:type="paragraph" w:styleId="6">
    <w:name w:val="heading 6"/>
    <w:basedOn w:val="a2"/>
    <w:next w:val="a2"/>
    <w:link w:val="60"/>
    <w:pPr>
      <w:keepLines/>
      <w:tabs>
        <w:tab w:val="num" w:pos="1152"/>
      </w:tabs>
      <w:spacing w:before="200" w:after="60" w:line="276" w:lineRule="auto"/>
      <w:ind w:left="1152" w:hanging="1152"/>
      <w:outlineLvl w:val="5"/>
    </w:pPr>
    <w:rPr>
      <w:rFonts w:ascii="Arial" w:hAnsi="Arial"/>
      <w:b/>
      <w:szCs w:val="26"/>
    </w:rPr>
  </w:style>
  <w:style w:type="paragraph" w:styleId="7">
    <w:name w:val="heading 7"/>
    <w:basedOn w:val="a2"/>
    <w:next w:val="a2"/>
    <w:link w:val="70"/>
    <w:pPr>
      <w:tabs>
        <w:tab w:val="num" w:pos="1296"/>
      </w:tabs>
      <w:ind w:left="1296" w:hanging="1296"/>
      <w:outlineLvl w:val="6"/>
    </w:pPr>
    <w:rPr>
      <w:iCs/>
    </w:rPr>
  </w:style>
  <w:style w:type="paragraph" w:styleId="8">
    <w:name w:val="heading 8"/>
    <w:basedOn w:val="a2"/>
    <w:next w:val="a2"/>
    <w:link w:val="80"/>
    <w:pPr>
      <w:tabs>
        <w:tab w:val="num" w:pos="1440"/>
      </w:tabs>
      <w:ind w:left="1440" w:hanging="1440"/>
      <w:outlineLvl w:val="7"/>
    </w:pPr>
    <w:rPr>
      <w:szCs w:val="20"/>
    </w:rPr>
  </w:style>
  <w:style w:type="paragraph" w:styleId="9">
    <w:name w:val="heading 9"/>
    <w:basedOn w:val="a2"/>
    <w:next w:val="a2"/>
    <w:link w:val="90"/>
    <w:pPr>
      <w:tabs>
        <w:tab w:val="num" w:pos="1584"/>
      </w:tabs>
      <w:ind w:left="1584" w:hanging="1584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TitleChar">
    <w:name w:val="Title Char"/>
    <w:basedOn w:val="a3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2"/>
    <w:pPr>
      <w:spacing w:line="276" w:lineRule="auto"/>
      <w:ind w:left="720" w:firstLine="0"/>
      <w:contextualSpacing/>
    </w:pPr>
    <w:rPr>
      <w:sz w:val="24"/>
      <w:szCs w:val="22"/>
    </w:rPr>
  </w:style>
  <w:style w:type="paragraph" w:styleId="a7">
    <w:name w:val="No Spacing"/>
    <w:pPr>
      <w:ind w:firstLine="720"/>
    </w:pPr>
    <w:rPr>
      <w:rFonts w:ascii="Times New Roman" w:eastAsia="MS Mincho" w:hAnsi="Times New Roman"/>
      <w:sz w:val="24"/>
    </w:rPr>
  </w:style>
  <w:style w:type="paragraph" w:styleId="a8">
    <w:name w:val="Title"/>
    <w:basedOn w:val="a2"/>
    <w:next w:val="a2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8"/>
    <w:uiPriority w:val="10"/>
    <w:rPr>
      <w:sz w:val="48"/>
      <w:szCs w:val="48"/>
    </w:rPr>
  </w:style>
  <w:style w:type="paragraph" w:styleId="a9">
    <w:name w:val="Subtitle"/>
    <w:basedOn w:val="a2"/>
    <w:link w:val="aa"/>
    <w:pPr>
      <w:spacing w:line="276" w:lineRule="auto"/>
      <w:ind w:firstLine="0"/>
      <w:jc w:val="center"/>
    </w:pPr>
    <w:rPr>
      <w:szCs w:val="20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3">
    <w:name w:val="Quote"/>
    <w:basedOn w:val="a2"/>
    <w:next w:val="a2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2"/>
    <w:next w:val="a2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2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2"/>
    <w:link w:val="af0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2"/>
    <w:next w:val="a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4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basedOn w:val="a2"/>
    <w:link w:val="af5"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rPr>
      <w:vertAlign w:val="superscript"/>
    </w:rPr>
  </w:style>
  <w:style w:type="paragraph" w:styleId="af7">
    <w:name w:val="endnote text"/>
    <w:basedOn w:val="a2"/>
    <w:link w:val="af8"/>
    <w:pPr>
      <w:spacing w:line="276" w:lineRule="auto"/>
      <w:ind w:firstLine="0"/>
    </w:pPr>
    <w:rPr>
      <w:sz w:val="20"/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9">
    <w:name w:val="endnote reference"/>
    <w:rPr>
      <w:vertAlign w:val="superscript"/>
    </w:rPr>
  </w:style>
  <w:style w:type="paragraph" w:styleId="13">
    <w:name w:val="toc 1"/>
    <w:basedOn w:val="a2"/>
    <w:next w:val="a2"/>
    <w:pPr>
      <w:tabs>
        <w:tab w:val="left" w:pos="480"/>
        <w:tab w:val="right" w:leader="dot" w:pos="9345"/>
      </w:tabs>
      <w:spacing w:line="276" w:lineRule="auto"/>
      <w:ind w:firstLine="0"/>
    </w:pPr>
    <w:rPr>
      <w:b/>
    </w:rPr>
  </w:style>
  <w:style w:type="paragraph" w:styleId="25">
    <w:name w:val="toc 2"/>
    <w:basedOn w:val="a2"/>
    <w:next w:val="a2"/>
    <w:pPr>
      <w:tabs>
        <w:tab w:val="right" w:leader="dot" w:pos="10195"/>
      </w:tabs>
      <w:spacing w:line="276" w:lineRule="auto"/>
      <w:ind w:left="240" w:firstLine="0"/>
    </w:pPr>
    <w:rPr>
      <w:sz w:val="24"/>
      <w:szCs w:val="24"/>
    </w:rPr>
  </w:style>
  <w:style w:type="paragraph" w:styleId="33">
    <w:name w:val="toc 3"/>
    <w:basedOn w:val="a2"/>
    <w:next w:val="a2"/>
    <w:pPr>
      <w:tabs>
        <w:tab w:val="left" w:pos="1320"/>
        <w:tab w:val="right" w:leader="dot" w:pos="9345"/>
      </w:tabs>
      <w:spacing w:after="100" w:line="276" w:lineRule="auto"/>
      <w:ind w:left="480" w:firstLine="0"/>
    </w:pPr>
    <w:rPr>
      <w:sz w:val="24"/>
      <w:szCs w:val="22"/>
    </w:rPr>
  </w:style>
  <w:style w:type="paragraph" w:styleId="43">
    <w:name w:val="toc 4"/>
    <w:basedOn w:val="a2"/>
    <w:next w:val="a2"/>
    <w:uiPriority w:val="39"/>
    <w:unhideWhenUsed/>
    <w:pPr>
      <w:spacing w:after="57"/>
      <w:ind w:left="850" w:firstLine="0"/>
    </w:pPr>
  </w:style>
  <w:style w:type="paragraph" w:styleId="53">
    <w:name w:val="toc 5"/>
    <w:basedOn w:val="a2"/>
    <w:next w:val="a2"/>
    <w:uiPriority w:val="39"/>
    <w:unhideWhenUsed/>
    <w:pPr>
      <w:spacing w:after="57"/>
      <w:ind w:left="1134" w:firstLine="0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 w:firstLine="0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 w:firstLine="0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 w:firstLine="0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basedOn w:val="a2"/>
    <w:next w:val="a2"/>
    <w:uiPriority w:val="99"/>
    <w:unhideWhenUsed/>
  </w:style>
  <w:style w:type="character" w:customStyle="1" w:styleId="14">
    <w:name w:val="Заголовок 1 Знак"/>
    <w:link w:val="110"/>
    <w:rPr>
      <w:rFonts w:ascii="Calibri Light" w:eastAsia="Times New Roman" w:hAnsi="Calibri Light"/>
      <w:color w:val="2E74B5"/>
      <w:sz w:val="32"/>
      <w:szCs w:val="32"/>
      <w:lang w:eastAsia="ru-RU"/>
    </w:rPr>
  </w:style>
  <w:style w:type="character" w:customStyle="1" w:styleId="22">
    <w:name w:val="Заголовок 2 Знак"/>
    <w:link w:val="21"/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32">
    <w:name w:val="Заголовок 3 Знак"/>
    <w:link w:val="31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42">
    <w:name w:val="Заголовок 4 Знак"/>
    <w:link w:val="41"/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52">
    <w:name w:val="Заголовок 5 Знак"/>
    <w:link w:val="51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sz w:val="24"/>
      <w:szCs w:val="26"/>
      <w:lang w:eastAsia="ru-RU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iCs/>
      <w:sz w:val="24"/>
      <w:szCs w:val="26"/>
      <w:lang w:eastAsia="ru-RU"/>
    </w:rPr>
  </w:style>
  <w:style w:type="character" w:customStyle="1" w:styleId="80">
    <w:name w:val="Заголовок 8 Знак"/>
    <w:link w:val="8"/>
    <w:rPr>
      <w:rFonts w:ascii="Arial" w:eastAsia="Times New Roman" w:hAnsi="Arial"/>
      <w:b/>
      <w:iCs/>
      <w:sz w:val="24"/>
      <w:szCs w:val="20"/>
      <w:lang w:eastAsia="ru-RU"/>
    </w:rPr>
  </w:style>
  <w:style w:type="character" w:customStyle="1" w:styleId="90">
    <w:name w:val="Заголовок 9 Знак"/>
    <w:link w:val="9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26">
    <w:name w:val="Обычный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54">
    <w:name w:val="Обычный5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fc">
    <w:name w:val="Balloon Text"/>
    <w:basedOn w:val="a2"/>
    <w:link w:val="afd"/>
    <w:rPr>
      <w:rFonts w:ascii="Tahoma" w:hAnsi="Tahoma"/>
      <w:sz w:val="16"/>
      <w:szCs w:val="16"/>
      <w:lang w:val="en-US"/>
    </w:rPr>
  </w:style>
  <w:style w:type="character" w:customStyle="1" w:styleId="afd">
    <w:name w:val="Текст выноски Знак"/>
    <w:link w:val="afc"/>
    <w:rPr>
      <w:rFonts w:ascii="Tahoma" w:eastAsia="Times New Roman" w:hAnsi="Tahoma"/>
      <w:sz w:val="16"/>
      <w:szCs w:val="16"/>
      <w:lang w:eastAsia="ru-RU"/>
    </w:rPr>
  </w:style>
  <w:style w:type="character" w:styleId="afe">
    <w:name w:val="Placeholder Text"/>
    <w:semiHidden/>
    <w:rPr>
      <w:color w:val="808080"/>
    </w:rPr>
  </w:style>
  <w:style w:type="character" w:customStyle="1" w:styleId="ae">
    <w:name w:val="Верхний колонтитул Знак"/>
    <w:link w:val="ad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Нижний колонтитул Знак"/>
    <w:link w:val="af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Текст сноски Знак"/>
    <w:link w:val="af4"/>
    <w:rPr>
      <w:rFonts w:ascii="Times New Roman" w:eastAsia="Times New Roman" w:hAnsi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pPr>
      <w:numPr>
        <w:ilvl w:val="12"/>
      </w:numPr>
      <w:spacing w:before="120"/>
      <w:ind w:firstLine="709"/>
      <w:jc w:val="center"/>
    </w:pPr>
    <w:rPr>
      <w:bCs/>
      <w:szCs w:val="20"/>
      <w:lang w:val="en-US"/>
    </w:rPr>
  </w:style>
  <w:style w:type="character" w:customStyle="1" w:styleId="35">
    <w:name w:val="Основной текст с отступом 3 Знак"/>
    <w:link w:val="34"/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aff">
    <w:name w:val="Body Text Indent"/>
    <w:basedOn w:val="a2"/>
    <w:link w:val="aff0"/>
    <w:pPr>
      <w:spacing w:after="120"/>
      <w:ind w:left="283"/>
    </w:pPr>
    <w:rPr>
      <w:lang w:val="en-US"/>
    </w:rPr>
  </w:style>
  <w:style w:type="character" w:customStyle="1" w:styleId="aff0">
    <w:name w:val="Основной текст с отступом Знак"/>
    <w:link w:val="aff"/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Body Text"/>
    <w:basedOn w:val="a2"/>
    <w:link w:val="aff2"/>
    <w:pPr>
      <w:spacing w:after="120"/>
    </w:pPr>
    <w:rPr>
      <w:lang w:val="en-US"/>
    </w:rPr>
  </w:style>
  <w:style w:type="character" w:customStyle="1" w:styleId="aff2">
    <w:name w:val="Основной текст Знак"/>
    <w:link w:val="aff1"/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5">
    <w:name w:val="Нет списка1"/>
    <w:next w:val="a5"/>
    <w:semiHidden/>
  </w:style>
  <w:style w:type="character" w:styleId="aff3">
    <w:name w:val="page number"/>
    <w:basedOn w:val="a3"/>
  </w:style>
  <w:style w:type="paragraph" w:styleId="27">
    <w:name w:val="Body Text Indent 2"/>
    <w:basedOn w:val="a2"/>
    <w:link w:val="28"/>
    <w:pPr>
      <w:spacing w:before="120"/>
    </w:pPr>
    <w:rPr>
      <w:b/>
      <w:bCs/>
      <w:sz w:val="23"/>
      <w:szCs w:val="20"/>
      <w:lang w:val="en-US"/>
    </w:rPr>
  </w:style>
  <w:style w:type="character" w:customStyle="1" w:styleId="28">
    <w:name w:val="Основной текст с отступом 2 Знак"/>
    <w:link w:val="27"/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customStyle="1" w:styleId="29">
    <w:name w:val="заголовок 2"/>
    <w:basedOn w:val="a2"/>
    <w:next w:val="a2"/>
    <w:pPr>
      <w:keepNext/>
      <w:ind w:firstLine="720"/>
    </w:pPr>
    <w:rPr>
      <w:sz w:val="24"/>
      <w:szCs w:val="20"/>
      <w:u w:val="single"/>
    </w:rPr>
  </w:style>
  <w:style w:type="paragraph" w:customStyle="1" w:styleId="16">
    <w:name w:val="заголовок 1"/>
    <w:basedOn w:val="a2"/>
    <w:next w:val="a2"/>
    <w:pPr>
      <w:keepNext/>
      <w:ind w:firstLine="0"/>
      <w:jc w:val="center"/>
    </w:pPr>
    <w:rPr>
      <w:b/>
      <w:sz w:val="24"/>
      <w:szCs w:val="20"/>
    </w:rPr>
  </w:style>
  <w:style w:type="paragraph" w:styleId="aff4">
    <w:name w:val="Date"/>
    <w:basedOn w:val="a2"/>
    <w:next w:val="a2"/>
    <w:link w:val="aff5"/>
    <w:pPr>
      <w:ind w:firstLine="0"/>
      <w:jc w:val="left"/>
    </w:pPr>
    <w:rPr>
      <w:sz w:val="24"/>
      <w:szCs w:val="20"/>
      <w:lang w:val="en-US"/>
    </w:rPr>
  </w:style>
  <w:style w:type="character" w:customStyle="1" w:styleId="aff5">
    <w:name w:val="Дата Знак"/>
    <w:link w:val="aff4"/>
    <w:rPr>
      <w:rFonts w:ascii="Times New Roman" w:eastAsia="Times New Roman" w:hAnsi="Times New Roman"/>
      <w:sz w:val="24"/>
      <w:szCs w:val="20"/>
      <w:lang w:eastAsia="ru-RU"/>
    </w:rPr>
  </w:style>
  <w:style w:type="paragraph" w:styleId="2a">
    <w:name w:val="Body Text 2"/>
    <w:basedOn w:val="a2"/>
    <w:link w:val="2b"/>
    <w:pPr>
      <w:ind w:firstLine="0"/>
      <w:jc w:val="center"/>
    </w:pPr>
    <w:rPr>
      <w:b/>
      <w:sz w:val="23"/>
      <w:szCs w:val="20"/>
      <w:lang w:val="en-US"/>
    </w:rPr>
  </w:style>
  <w:style w:type="character" w:customStyle="1" w:styleId="2b">
    <w:name w:val="Основной текст 2 Знак"/>
    <w:link w:val="2a"/>
    <w:rPr>
      <w:rFonts w:ascii="Times New Roman" w:eastAsia="Times New Roman" w:hAnsi="Times New Roman"/>
      <w:b/>
      <w:sz w:val="23"/>
      <w:lang w:eastAsia="ru-RU"/>
    </w:rPr>
  </w:style>
  <w:style w:type="character" w:customStyle="1" w:styleId="aff6">
    <w:name w:val="Цветовое выделение"/>
    <w:rPr>
      <w:b/>
      <w:bCs/>
      <w:color w:val="000080"/>
      <w:sz w:val="20"/>
      <w:szCs w:val="20"/>
    </w:rPr>
  </w:style>
  <w:style w:type="paragraph" w:customStyle="1" w:styleId="aff7">
    <w:name w:val="Таблицы (моноширинный)"/>
    <w:basedOn w:val="a2"/>
    <w:next w:val="a2"/>
    <w:pPr>
      <w:widowControl w:val="0"/>
      <w:ind w:firstLine="0"/>
    </w:pPr>
    <w:rPr>
      <w:rFonts w:ascii="Courier New" w:hAnsi="Courier New"/>
      <w:sz w:val="20"/>
      <w:szCs w:val="20"/>
    </w:rPr>
  </w:style>
  <w:style w:type="paragraph" w:styleId="a1">
    <w:name w:val="List Bullet"/>
    <w:basedOn w:val="a2"/>
    <w:pPr>
      <w:numPr>
        <w:numId w:val="1"/>
      </w:numPr>
      <w:jc w:val="left"/>
    </w:pPr>
    <w:rPr>
      <w:sz w:val="24"/>
      <w:szCs w:val="20"/>
    </w:rPr>
  </w:style>
  <w:style w:type="paragraph" w:styleId="2">
    <w:name w:val="List Bullet 2"/>
    <w:basedOn w:val="a2"/>
    <w:pPr>
      <w:numPr>
        <w:numId w:val="2"/>
      </w:numPr>
      <w:jc w:val="left"/>
    </w:pPr>
    <w:rPr>
      <w:sz w:val="24"/>
      <w:szCs w:val="20"/>
    </w:rPr>
  </w:style>
  <w:style w:type="paragraph" w:styleId="30">
    <w:name w:val="List Bullet 3"/>
    <w:basedOn w:val="a2"/>
    <w:pPr>
      <w:numPr>
        <w:numId w:val="3"/>
      </w:numPr>
      <w:jc w:val="left"/>
    </w:pPr>
    <w:rPr>
      <w:sz w:val="24"/>
      <w:szCs w:val="20"/>
    </w:rPr>
  </w:style>
  <w:style w:type="paragraph" w:styleId="40">
    <w:name w:val="List Bullet 4"/>
    <w:basedOn w:val="a2"/>
    <w:pPr>
      <w:numPr>
        <w:numId w:val="4"/>
      </w:numPr>
      <w:jc w:val="left"/>
    </w:pPr>
    <w:rPr>
      <w:sz w:val="24"/>
      <w:szCs w:val="20"/>
    </w:rPr>
  </w:style>
  <w:style w:type="paragraph" w:styleId="5">
    <w:name w:val="List Bullet 5"/>
    <w:basedOn w:val="a2"/>
    <w:pPr>
      <w:numPr>
        <w:numId w:val="5"/>
      </w:numPr>
      <w:jc w:val="left"/>
    </w:pPr>
    <w:rPr>
      <w:sz w:val="24"/>
      <w:szCs w:val="20"/>
    </w:rPr>
  </w:style>
  <w:style w:type="paragraph" w:styleId="a0">
    <w:name w:val="List Number"/>
    <w:basedOn w:val="a2"/>
    <w:pPr>
      <w:numPr>
        <w:numId w:val="6"/>
      </w:numPr>
      <w:jc w:val="left"/>
    </w:pPr>
    <w:rPr>
      <w:sz w:val="24"/>
      <w:szCs w:val="20"/>
    </w:rPr>
  </w:style>
  <w:style w:type="paragraph" w:styleId="20">
    <w:name w:val="List Number 2"/>
    <w:basedOn w:val="a2"/>
    <w:pPr>
      <w:numPr>
        <w:numId w:val="7"/>
      </w:numPr>
      <w:jc w:val="left"/>
    </w:pPr>
    <w:rPr>
      <w:sz w:val="24"/>
      <w:szCs w:val="20"/>
    </w:rPr>
  </w:style>
  <w:style w:type="paragraph" w:styleId="3">
    <w:name w:val="List Number 3"/>
    <w:basedOn w:val="a2"/>
    <w:pPr>
      <w:numPr>
        <w:numId w:val="8"/>
      </w:numPr>
      <w:jc w:val="left"/>
    </w:pPr>
    <w:rPr>
      <w:sz w:val="24"/>
      <w:szCs w:val="20"/>
    </w:rPr>
  </w:style>
  <w:style w:type="paragraph" w:styleId="4">
    <w:name w:val="List Number 4"/>
    <w:basedOn w:val="a2"/>
    <w:pPr>
      <w:numPr>
        <w:numId w:val="9"/>
      </w:numPr>
      <w:jc w:val="left"/>
    </w:pPr>
    <w:rPr>
      <w:sz w:val="24"/>
      <w:szCs w:val="20"/>
    </w:rPr>
  </w:style>
  <w:style w:type="paragraph" w:styleId="50">
    <w:name w:val="List Number 5"/>
    <w:basedOn w:val="a2"/>
    <w:pPr>
      <w:numPr>
        <w:numId w:val="10"/>
      </w:numPr>
      <w:jc w:val="left"/>
    </w:pPr>
    <w:rPr>
      <w:sz w:val="24"/>
      <w:szCs w:val="20"/>
    </w:rPr>
  </w:style>
  <w:style w:type="paragraph" w:customStyle="1" w:styleId="aff8">
    <w:name w:val="Пункт"/>
    <w:basedOn w:val="a2"/>
    <w:next w:val="a2"/>
    <w:pPr>
      <w:widowControl w:val="0"/>
      <w:tabs>
        <w:tab w:val="num" w:pos="774"/>
        <w:tab w:val="left" w:pos="851"/>
        <w:tab w:val="left" w:pos="993"/>
        <w:tab w:val="left" w:pos="1134"/>
      </w:tabs>
      <w:spacing w:before="40" w:after="40"/>
      <w:ind w:firstLine="414"/>
    </w:pPr>
    <w:rPr>
      <w:sz w:val="24"/>
      <w:szCs w:val="20"/>
    </w:rPr>
  </w:style>
  <w:style w:type="paragraph" w:styleId="36">
    <w:name w:val="Body Text 3"/>
    <w:basedOn w:val="a2"/>
    <w:link w:val="37"/>
    <w:pPr>
      <w:spacing w:before="120"/>
      <w:ind w:firstLine="0"/>
      <w:jc w:val="center"/>
    </w:pPr>
    <w:rPr>
      <w:b/>
      <w:color w:val="FF0000"/>
      <w:szCs w:val="20"/>
      <w:lang w:val="en-US"/>
    </w:rPr>
  </w:style>
  <w:style w:type="character" w:customStyle="1" w:styleId="37">
    <w:name w:val="Основной текст 3 Знак"/>
    <w:link w:val="36"/>
    <w:rPr>
      <w:rFonts w:ascii="Times New Roman" w:eastAsia="Times New Roman" w:hAnsi="Times New Roman"/>
      <w:b/>
      <w:color w:val="FF0000"/>
      <w:sz w:val="28"/>
      <w:szCs w:val="20"/>
      <w:lang w:eastAsia="ru-RU"/>
    </w:rPr>
  </w:style>
  <w:style w:type="paragraph" w:customStyle="1" w:styleId="17">
    <w:name w:val="Обычный1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character" w:customStyle="1" w:styleId="aff9">
    <w:name w:val="Гипертекстовая ссылка"/>
    <w:rPr>
      <w:color w:val="106BBE"/>
      <w:sz w:val="20"/>
      <w:szCs w:val="20"/>
    </w:rPr>
  </w:style>
  <w:style w:type="paragraph" w:customStyle="1" w:styleId="a">
    <w:name w:val="Комментарий"/>
    <w:basedOn w:val="a2"/>
    <w:next w:val="a2"/>
    <w:pPr>
      <w:widowControl w:val="0"/>
      <w:numPr>
        <w:ilvl w:val="1"/>
        <w:numId w:val="11"/>
      </w:numPr>
      <w:tabs>
        <w:tab w:val="clear" w:pos="774"/>
      </w:tabs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"/>
    <w:next w:val="a2"/>
    <w:rPr>
      <w:i/>
      <w:iCs/>
    </w:rPr>
  </w:style>
  <w:style w:type="paragraph" w:customStyle="1" w:styleId="ConsPlusNormal">
    <w:name w:val="ConsPlusNormal"/>
    <w:rPr>
      <w:rFonts w:ascii="Arial" w:hAnsi="Arial"/>
      <w:lang w:eastAsia="en-US"/>
    </w:rPr>
  </w:style>
  <w:style w:type="character" w:customStyle="1" w:styleId="affb">
    <w:name w:val="Название Знак"/>
    <w:rPr>
      <w:sz w:val="28"/>
    </w:rPr>
  </w:style>
  <w:style w:type="paragraph" w:customStyle="1" w:styleId="affc">
    <w:name w:val="Колонтитул (левый)"/>
    <w:basedOn w:val="a2"/>
    <w:next w:val="a2"/>
    <w:pPr>
      <w:ind w:firstLine="0"/>
      <w:jc w:val="left"/>
    </w:pPr>
    <w:rPr>
      <w:rFonts w:ascii="Arial" w:hAnsi="Arial"/>
      <w:sz w:val="14"/>
      <w:szCs w:val="14"/>
    </w:rPr>
  </w:style>
  <w:style w:type="paragraph" w:customStyle="1" w:styleId="xl26">
    <w:name w:val="xl26"/>
    <w:basedOn w:val="a2"/>
    <w:pPr>
      <w:pBdr>
        <w:left w:val="single" w:sz="4" w:space="0" w:color="000000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</w:rPr>
  </w:style>
  <w:style w:type="numbering" w:customStyle="1" w:styleId="111">
    <w:name w:val="Нет списка11"/>
    <w:next w:val="a5"/>
    <w:semiHidden/>
  </w:style>
  <w:style w:type="paragraph" w:customStyle="1" w:styleId="xl22">
    <w:name w:val="xl22"/>
    <w:basedOn w:val="a2"/>
    <w:pPr>
      <w:pBdr>
        <w:lef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numbering" w:customStyle="1" w:styleId="2c">
    <w:name w:val="Нет списка2"/>
    <w:next w:val="a5"/>
    <w:semiHidden/>
  </w:style>
  <w:style w:type="paragraph" w:customStyle="1" w:styleId="110">
    <w:name w:val="Заголовок 11"/>
    <w:basedOn w:val="a2"/>
    <w:next w:val="a2"/>
    <w:link w:val="14"/>
    <w:pPr>
      <w:keepNext/>
      <w:keepLines/>
      <w:tabs>
        <w:tab w:val="num" w:pos="432"/>
      </w:tabs>
      <w:spacing w:before="240" w:after="60" w:line="276" w:lineRule="auto"/>
      <w:ind w:left="431" w:hanging="431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numbering" w:customStyle="1" w:styleId="1110">
    <w:name w:val="Нет списка111"/>
    <w:next w:val="a5"/>
    <w:semiHidden/>
  </w:style>
  <w:style w:type="paragraph" w:customStyle="1" w:styleId="18">
    <w:name w:val="Название объекта1"/>
    <w:basedOn w:val="a2"/>
    <w:next w:val="a2"/>
    <w:pPr>
      <w:spacing w:line="276" w:lineRule="auto"/>
      <w:ind w:firstLine="0"/>
    </w:pPr>
    <w:rPr>
      <w:b/>
      <w:bCs/>
      <w:color w:val="4F81BD"/>
      <w:sz w:val="18"/>
      <w:szCs w:val="18"/>
    </w:rPr>
  </w:style>
  <w:style w:type="numbering" w:customStyle="1" w:styleId="affd">
    <w:name w:val="НумерацияРазделовЭО"/>
  </w:style>
  <w:style w:type="paragraph" w:customStyle="1" w:styleId="NormalWeb1">
    <w:name w:val="Normal (Web)1"/>
    <w:basedOn w:val="a2"/>
    <w:pPr>
      <w:spacing w:before="100" w:beforeAutospacing="1" w:after="100" w:afterAutospacing="1" w:line="276" w:lineRule="auto"/>
      <w:ind w:firstLine="0"/>
    </w:pPr>
    <w:rPr>
      <w:color w:val="000000"/>
      <w:sz w:val="24"/>
      <w:szCs w:val="24"/>
      <w:lang w:val="en-US" w:eastAsia="en-US"/>
    </w:rPr>
  </w:style>
  <w:style w:type="paragraph" w:customStyle="1" w:styleId="E">
    <w:name w:val="E_Маркир"/>
    <w:basedOn w:val="a2"/>
    <w:pPr>
      <w:numPr>
        <w:numId w:val="12"/>
      </w:numPr>
      <w:spacing w:before="60" w:after="60" w:line="276" w:lineRule="auto"/>
    </w:pPr>
    <w:rPr>
      <w:color w:val="000000"/>
      <w:sz w:val="24"/>
      <w:szCs w:val="24"/>
      <w:lang w:eastAsia="en-US"/>
    </w:rPr>
  </w:style>
  <w:style w:type="character" w:customStyle="1" w:styleId="aa">
    <w:name w:val="Подзаголовок Знак"/>
    <w:link w:val="a9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9">
    <w:name w:val="Заголовок оглавления1"/>
    <w:basedOn w:val="1"/>
    <w:next w:val="a2"/>
    <w:pPr>
      <w:keepLines/>
      <w:spacing w:before="240" w:after="60" w:line="276" w:lineRule="auto"/>
      <w:jc w:val="both"/>
      <w:outlineLvl w:val="9"/>
    </w:pPr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1a">
    <w:name w:val="Основной текст Знак1"/>
    <w:rPr>
      <w:sz w:val="24"/>
    </w:rPr>
  </w:style>
  <w:style w:type="paragraph" w:customStyle="1" w:styleId="xl32">
    <w:name w:val="xl32"/>
    <w:basedOn w:val="a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76" w:lineRule="auto"/>
      <w:ind w:firstLine="0"/>
    </w:pPr>
    <w:rPr>
      <w:rFonts w:eastAsia="Arial Unicode MS"/>
      <w:sz w:val="24"/>
      <w:szCs w:val="24"/>
    </w:rPr>
  </w:style>
  <w:style w:type="character" w:styleId="affe">
    <w:name w:val="FollowedHyperlink"/>
    <w:rPr>
      <w:color w:val="800080"/>
      <w:u w:val="single"/>
    </w:rPr>
  </w:style>
  <w:style w:type="paragraph" w:customStyle="1" w:styleId="1b">
    <w:name w:val="Обычный (веб)1"/>
    <w:basedOn w:val="a2"/>
    <w:pPr>
      <w:spacing w:before="100" w:beforeAutospacing="1" w:after="100" w:afterAutospacing="1" w:line="276" w:lineRule="auto"/>
      <w:ind w:firstLine="0"/>
    </w:pPr>
    <w:rPr>
      <w:color w:val="000000"/>
      <w:sz w:val="24"/>
      <w:szCs w:val="24"/>
      <w:lang w:val="en-US" w:eastAsia="en-US"/>
    </w:rPr>
  </w:style>
  <w:style w:type="paragraph" w:styleId="afff">
    <w:name w:val="Document Map"/>
    <w:basedOn w:val="a2"/>
    <w:link w:val="afff0"/>
    <w:pPr>
      <w:shd w:val="clear" w:color="auto" w:fill="000080"/>
      <w:spacing w:line="276" w:lineRule="auto"/>
      <w:ind w:firstLine="0"/>
    </w:pPr>
    <w:rPr>
      <w:rFonts w:ascii="Tahoma" w:hAnsi="Tahoma"/>
      <w:sz w:val="20"/>
      <w:szCs w:val="20"/>
      <w:lang w:val="en-US"/>
    </w:rPr>
  </w:style>
  <w:style w:type="character" w:customStyle="1" w:styleId="afff0">
    <w:name w:val="Схема документа Знак"/>
    <w:link w:val="afff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2"/>
    <w:pPr>
      <w:spacing w:after="40" w:line="276" w:lineRule="auto"/>
      <w:ind w:firstLine="567"/>
    </w:pPr>
    <w:rPr>
      <w:color w:val="000000"/>
      <w:sz w:val="24"/>
      <w:szCs w:val="24"/>
      <w:lang w:eastAsia="en-US"/>
    </w:rPr>
  </w:style>
  <w:style w:type="paragraph" w:customStyle="1" w:styleId="afff1">
    <w:name w:val="Обычный (без отступа)"/>
    <w:basedOn w:val="a2"/>
    <w:pPr>
      <w:spacing w:after="120" w:line="276" w:lineRule="auto"/>
      <w:ind w:firstLine="0"/>
    </w:pPr>
    <w:rPr>
      <w:sz w:val="24"/>
      <w:szCs w:val="24"/>
    </w:rPr>
  </w:style>
  <w:style w:type="paragraph" w:customStyle="1" w:styleId="afff2">
    <w:name w:val="ТЛ_Название_программы"/>
    <w:basedOn w:val="afff1"/>
    <w:pPr>
      <w:jc w:val="center"/>
    </w:pPr>
    <w:rPr>
      <w:caps/>
      <w:sz w:val="28"/>
    </w:rPr>
  </w:style>
  <w:style w:type="character" w:customStyle="1" w:styleId="afff3">
    <w:name w:val="Обычный (без отступа) Знак"/>
    <w:rPr>
      <w:sz w:val="24"/>
      <w:szCs w:val="24"/>
      <w:lang w:val="ru-RU" w:eastAsia="ru-RU" w:bidi="ar-SA"/>
    </w:rPr>
  </w:style>
  <w:style w:type="character" w:styleId="afff4">
    <w:name w:val="annotation reference"/>
    <w:rPr>
      <w:sz w:val="16"/>
      <w:szCs w:val="16"/>
    </w:rPr>
  </w:style>
  <w:style w:type="paragraph" w:styleId="afff5">
    <w:name w:val="annotation text"/>
    <w:basedOn w:val="a2"/>
    <w:link w:val="afff6"/>
    <w:pPr>
      <w:spacing w:line="276" w:lineRule="auto"/>
      <w:ind w:firstLine="0"/>
    </w:pPr>
    <w:rPr>
      <w:sz w:val="20"/>
      <w:szCs w:val="20"/>
      <w:lang w:val="en-US"/>
    </w:rPr>
  </w:style>
  <w:style w:type="character" w:customStyle="1" w:styleId="afff6">
    <w:name w:val="Текст примечания Знак"/>
    <w:link w:val="afff5"/>
    <w:rPr>
      <w:rFonts w:ascii="Times New Roman" w:eastAsia="Times New Roman" w:hAnsi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rPr>
      <w:b/>
      <w:bCs/>
    </w:rPr>
  </w:style>
  <w:style w:type="character" w:customStyle="1" w:styleId="afff8">
    <w:name w:val="Тема примечания Знак"/>
    <w:link w:val="afff7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7">
    <w:name w:val="xl27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" w:eastAsia="Arial Unicode MS" w:hAnsi="Arial"/>
      <w:sz w:val="24"/>
      <w:szCs w:val="24"/>
    </w:rPr>
  </w:style>
  <w:style w:type="paragraph" w:customStyle="1" w:styleId="font5">
    <w:name w:val="font5"/>
    <w:basedOn w:val="a2"/>
    <w:pPr>
      <w:spacing w:before="100" w:beforeAutospacing="1" w:after="100" w:afterAutospacing="1" w:line="276" w:lineRule="auto"/>
      <w:ind w:firstLine="0"/>
    </w:pPr>
    <w:rPr>
      <w:rFonts w:eastAsia="Arial Unicode MS"/>
      <w:sz w:val="24"/>
      <w:szCs w:val="24"/>
    </w:rPr>
  </w:style>
  <w:style w:type="paragraph" w:customStyle="1" w:styleId="xl53">
    <w:name w:val="xl53"/>
    <w:basedOn w:val="a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eastAsia="Arial Unicode MS"/>
      <w:color w:val="000000"/>
      <w:sz w:val="24"/>
      <w:szCs w:val="24"/>
    </w:rPr>
  </w:style>
  <w:style w:type="paragraph" w:customStyle="1" w:styleId="411">
    <w:name w:val="Оглавление 41"/>
    <w:basedOn w:val="a2"/>
    <w:next w:val="a2"/>
    <w:pPr>
      <w:tabs>
        <w:tab w:val="left" w:pos="1760"/>
        <w:tab w:val="right" w:leader="dot" w:pos="9345"/>
      </w:tabs>
      <w:spacing w:line="276" w:lineRule="auto"/>
      <w:ind w:firstLine="0"/>
    </w:pPr>
    <w:rPr>
      <w:color w:val="000000"/>
      <w:sz w:val="24"/>
      <w:szCs w:val="24"/>
    </w:rPr>
  </w:style>
  <w:style w:type="paragraph" w:customStyle="1" w:styleId="afff9">
    <w:name w:val="Номер Приложения"/>
    <w:basedOn w:val="1"/>
    <w:pPr>
      <w:spacing w:before="240" w:after="60" w:line="276" w:lineRule="auto"/>
      <w:jc w:val="right"/>
    </w:pPr>
    <w:rPr>
      <w:rFonts w:ascii="Arial" w:hAnsi="Arial"/>
      <w:b/>
      <w:bCs/>
      <w:spacing w:val="1"/>
      <w:sz w:val="32"/>
      <w:szCs w:val="32"/>
    </w:rPr>
  </w:style>
  <w:style w:type="paragraph" w:customStyle="1" w:styleId="afffa">
    <w:name w:val="Тип приложения"/>
    <w:basedOn w:val="a2"/>
    <w:next w:val="a2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pacing w:after="120" w:line="276" w:lineRule="auto"/>
      <w:ind w:firstLine="0"/>
      <w:jc w:val="right"/>
    </w:pPr>
    <w:rPr>
      <w:caps/>
      <w:sz w:val="24"/>
      <w:szCs w:val="40"/>
    </w:rPr>
  </w:style>
  <w:style w:type="character" w:customStyle="1" w:styleId="af8">
    <w:name w:val="Текст концевой сноски Знак"/>
    <w:link w:val="af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">
    <w:name w:val="Comment"/>
    <w:rPr>
      <w:color w:val="0000FF"/>
    </w:rPr>
  </w:style>
  <w:style w:type="paragraph" w:styleId="afffb">
    <w:name w:val="toa heading"/>
    <w:basedOn w:val="a2"/>
    <w:next w:val="a2"/>
    <w:pPr>
      <w:spacing w:before="120" w:line="276" w:lineRule="auto"/>
      <w:ind w:firstLine="0"/>
    </w:pPr>
    <w:rPr>
      <w:rFonts w:ascii="Cambria" w:hAnsi="Cambria"/>
      <w:b/>
      <w:bCs/>
      <w:sz w:val="24"/>
      <w:szCs w:val="24"/>
    </w:rPr>
  </w:style>
  <w:style w:type="paragraph" w:customStyle="1" w:styleId="SystemName">
    <w:name w:val="System Name"/>
    <w:basedOn w:val="a2"/>
    <w:next w:val="a2"/>
    <w:pPr>
      <w:keepLines/>
      <w:spacing w:before="1080" w:after="120" w:line="288" w:lineRule="auto"/>
      <w:ind w:firstLine="0"/>
      <w:jc w:val="center"/>
    </w:pPr>
    <w:rPr>
      <w:b/>
      <w:caps/>
      <w:lang w:val="en-US" w:eastAsia="en-US"/>
    </w:rPr>
  </w:style>
  <w:style w:type="paragraph" w:customStyle="1" w:styleId="DocumentName">
    <w:name w:val="Document Name"/>
    <w:basedOn w:val="a2"/>
    <w:pPr>
      <w:spacing w:before="120" w:after="120" w:line="288" w:lineRule="auto"/>
      <w:ind w:firstLine="0"/>
      <w:jc w:val="center"/>
    </w:pPr>
    <w:rPr>
      <w:b/>
      <w:sz w:val="36"/>
      <w:szCs w:val="36"/>
    </w:rPr>
  </w:style>
  <w:style w:type="paragraph" w:customStyle="1" w:styleId="DocumentCode">
    <w:name w:val="Document Code"/>
    <w:basedOn w:val="a2"/>
    <w:pPr>
      <w:spacing w:before="120" w:after="120" w:line="288" w:lineRule="auto"/>
      <w:ind w:firstLine="0"/>
      <w:jc w:val="center"/>
    </w:pPr>
    <w:rPr>
      <w:sz w:val="24"/>
      <w:szCs w:val="24"/>
    </w:rPr>
  </w:style>
  <w:style w:type="paragraph" w:customStyle="1" w:styleId="Confirmation">
    <w:name w:val="Confirmation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2"/>
    <w:pPr>
      <w:keepLines/>
      <w:widowControl w:val="0"/>
      <w:spacing w:before="60" w:after="60" w:line="288" w:lineRule="auto"/>
      <w:ind w:firstLine="0"/>
      <w:jc w:val="center"/>
    </w:pPr>
    <w:rPr>
      <w:sz w:val="24"/>
      <w:szCs w:val="24"/>
      <w:lang w:eastAsia="en-US"/>
    </w:rPr>
  </w:style>
  <w:style w:type="paragraph" w:customStyle="1" w:styleId="ShortSystemName">
    <w:name w:val="Short System Name"/>
    <w:next w:val="a2"/>
    <w:pPr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en-US"/>
    </w:rPr>
  </w:style>
  <w:style w:type="paragraph" w:customStyle="1" w:styleId="38">
    <w:name w:val="Обычный3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numbering" w:customStyle="1" w:styleId="1111">
    <w:name w:val="Нет списка1111"/>
    <w:next w:val="a5"/>
    <w:semiHidden/>
  </w:style>
  <w:style w:type="paragraph" w:customStyle="1" w:styleId="PlainText1">
    <w:name w:val="Plain Text1"/>
    <w:basedOn w:val="a2"/>
    <w:pPr>
      <w:spacing w:line="276" w:lineRule="auto"/>
      <w:ind w:firstLine="0"/>
    </w:pPr>
    <w:rPr>
      <w:rFonts w:ascii="Courier New" w:hAnsi="Courier New"/>
      <w:sz w:val="20"/>
      <w:szCs w:val="20"/>
      <w:lang w:val="en-US"/>
    </w:rPr>
  </w:style>
  <w:style w:type="paragraph" w:styleId="afffc">
    <w:name w:val="Plain Text"/>
    <w:basedOn w:val="a2"/>
    <w:link w:val="afffd"/>
    <w:pPr>
      <w:spacing w:line="276" w:lineRule="auto"/>
      <w:ind w:firstLine="0"/>
    </w:pPr>
    <w:rPr>
      <w:rFonts w:ascii="Courier New" w:hAnsi="Courier New"/>
      <w:sz w:val="20"/>
      <w:szCs w:val="20"/>
      <w:lang w:val="en-US"/>
    </w:rPr>
  </w:style>
  <w:style w:type="character" w:customStyle="1" w:styleId="afffd">
    <w:name w:val="Текст Знак"/>
    <w:link w:val="afffc"/>
    <w:rPr>
      <w:rFonts w:ascii="Courier New" w:eastAsia="Times New Roman" w:hAnsi="Courier New"/>
      <w:sz w:val="20"/>
      <w:szCs w:val="20"/>
      <w:lang w:eastAsia="ru-RU"/>
    </w:rPr>
  </w:style>
  <w:style w:type="paragraph" w:customStyle="1" w:styleId="xl24">
    <w:name w:val="xl24"/>
    <w:basedOn w:val="a2"/>
    <w:pP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2"/>
    <w:pPr>
      <w:pBdr>
        <w:lef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8">
    <w:name w:val="xl28"/>
    <w:basedOn w:val="a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30">
    <w:name w:val="xl30"/>
    <w:basedOn w:val="a2"/>
    <w:pPr>
      <w:pBdr>
        <w:bottom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31">
    <w:name w:val="xl31"/>
    <w:basedOn w:val="a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33">
    <w:name w:val="xl3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4">
    <w:name w:val="xl34"/>
    <w:basedOn w:val="a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5">
    <w:name w:val="xl35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36">
    <w:name w:val="xl36"/>
    <w:basedOn w:val="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7">
    <w:name w:val="xl37"/>
    <w:basedOn w:val="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38">
    <w:name w:val="xl38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39">
    <w:name w:val="xl39"/>
    <w:basedOn w:val="a2"/>
    <w:pPr>
      <w:pBdr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40">
    <w:name w:val="xl40"/>
    <w:basedOn w:val="a2"/>
    <w:pPr>
      <w:pBdr>
        <w:bottom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1">
    <w:name w:val="xl4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4">
    <w:name w:val="xl44"/>
    <w:basedOn w:val="a2"/>
    <w:pPr>
      <w:pBdr>
        <w:lef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5">
    <w:name w:val="xl45"/>
    <w:basedOn w:val="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6">
    <w:name w:val="xl46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7">
    <w:name w:val="xl47"/>
    <w:basedOn w:val="a2"/>
    <w:pPr>
      <w:pBdr>
        <w:top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8">
    <w:name w:val="xl48"/>
    <w:basedOn w:val="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49">
    <w:name w:val="xl49"/>
    <w:basedOn w:val="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0">
    <w:name w:val="xl50"/>
    <w:basedOn w:val="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51">
    <w:name w:val="xl51"/>
    <w:basedOn w:val="a2"/>
    <w:pPr>
      <w:pBdr>
        <w:top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52">
    <w:name w:val="xl52"/>
    <w:basedOn w:val="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54">
    <w:name w:val="xl54"/>
    <w:basedOn w:val="a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76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customStyle="1" w:styleId="xl55">
    <w:name w:val="xl55"/>
    <w:basedOn w:val="a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6">
    <w:name w:val="xl5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7">
    <w:name w:val="xl57"/>
    <w:basedOn w:val="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58">
    <w:name w:val="xl58"/>
    <w:basedOn w:val="a2"/>
    <w:pPr>
      <w:pBdr>
        <w:top w:val="single" w:sz="4" w:space="0" w:color="000000"/>
      </w:pBdr>
      <w:spacing w:before="100" w:beforeAutospacing="1" w:after="100" w:afterAutospacing="1" w:line="276" w:lineRule="auto"/>
      <w:ind w:firstLine="0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0">
    <w:name w:val="font0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0"/>
      <w:szCs w:val="20"/>
    </w:rPr>
  </w:style>
  <w:style w:type="paragraph" w:customStyle="1" w:styleId="font1">
    <w:name w:val="font1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0"/>
      <w:szCs w:val="20"/>
    </w:rPr>
  </w:style>
  <w:style w:type="paragraph" w:customStyle="1" w:styleId="font6">
    <w:name w:val="font6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0"/>
      <w:szCs w:val="20"/>
    </w:rPr>
  </w:style>
  <w:style w:type="paragraph" w:customStyle="1" w:styleId="font7">
    <w:name w:val="font7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0"/>
      <w:szCs w:val="20"/>
    </w:rPr>
  </w:style>
  <w:style w:type="paragraph" w:customStyle="1" w:styleId="xl42">
    <w:name w:val="xl42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4"/>
      <w:szCs w:val="24"/>
    </w:rPr>
  </w:style>
  <w:style w:type="paragraph" w:customStyle="1" w:styleId="xl43">
    <w:name w:val="xl43"/>
    <w:basedOn w:val="a2"/>
    <w:pPr>
      <w:spacing w:before="100" w:beforeAutospacing="1" w:after="100" w:afterAutospacing="1" w:line="276" w:lineRule="auto"/>
      <w:ind w:firstLine="0"/>
    </w:pPr>
    <w:rPr>
      <w:rFonts w:ascii="Arial CYR" w:hAnsi="Arial CYR"/>
      <w:sz w:val="24"/>
      <w:szCs w:val="24"/>
    </w:rPr>
  </w:style>
  <w:style w:type="table" w:customStyle="1" w:styleId="1c">
    <w:name w:val="Сетка таблицы1"/>
    <w:basedOn w:val="a4"/>
    <w:next w:val="af2"/>
    <w:pPr>
      <w:jc w:val="both"/>
    </w:pPr>
    <w:rPr>
      <w:rFonts w:eastAsia="Times New Roman"/>
    </w:rPr>
    <w:tblPr/>
  </w:style>
  <w:style w:type="numbering" w:customStyle="1" w:styleId="211">
    <w:name w:val="Нет списка21"/>
    <w:next w:val="a5"/>
    <w:semiHidden/>
  </w:style>
  <w:style w:type="numbering" w:customStyle="1" w:styleId="39">
    <w:name w:val="Нет списка3"/>
    <w:next w:val="a5"/>
    <w:semiHidden/>
  </w:style>
  <w:style w:type="numbering" w:customStyle="1" w:styleId="44">
    <w:name w:val="Нет списка4"/>
    <w:next w:val="a5"/>
    <w:semiHidden/>
  </w:style>
  <w:style w:type="numbering" w:customStyle="1" w:styleId="55">
    <w:name w:val="Нет списка5"/>
    <w:next w:val="a5"/>
    <w:semiHidden/>
  </w:style>
  <w:style w:type="numbering" w:customStyle="1" w:styleId="11111">
    <w:name w:val="Нет списка11111"/>
    <w:next w:val="a5"/>
    <w:semiHidden/>
  </w:style>
  <w:style w:type="numbering" w:customStyle="1" w:styleId="1d">
    <w:name w:val="НумерацияРазделовЭО1"/>
  </w:style>
  <w:style w:type="numbering" w:customStyle="1" w:styleId="111111">
    <w:name w:val="Нет списка111111"/>
    <w:next w:val="a5"/>
    <w:semiHidden/>
  </w:style>
  <w:style w:type="numbering" w:customStyle="1" w:styleId="2110">
    <w:name w:val="Нет списка211"/>
    <w:next w:val="a5"/>
    <w:semiHidden/>
  </w:style>
  <w:style w:type="numbering" w:customStyle="1" w:styleId="311">
    <w:name w:val="Нет списка31"/>
    <w:next w:val="a5"/>
    <w:semiHidden/>
  </w:style>
  <w:style w:type="numbering" w:customStyle="1" w:styleId="412">
    <w:name w:val="Нет списка41"/>
    <w:next w:val="a5"/>
    <w:semiHidden/>
  </w:style>
  <w:style w:type="character" w:customStyle="1" w:styleId="112">
    <w:name w:val="Заголовок 1 Знак1"/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62">
    <w:name w:val="Нет списка6"/>
    <w:next w:val="a5"/>
    <w:semiHidden/>
  </w:style>
  <w:style w:type="numbering" w:customStyle="1" w:styleId="120">
    <w:name w:val="Нет списка12"/>
    <w:next w:val="a5"/>
    <w:semiHidden/>
  </w:style>
  <w:style w:type="numbering" w:customStyle="1" w:styleId="2d">
    <w:name w:val="НумерацияРазделовЭО2"/>
  </w:style>
  <w:style w:type="numbering" w:customStyle="1" w:styleId="1120">
    <w:name w:val="Нет списка112"/>
    <w:next w:val="a5"/>
    <w:semiHidden/>
  </w:style>
  <w:style w:type="table" w:customStyle="1" w:styleId="2e">
    <w:name w:val="Сетка таблицы2"/>
    <w:basedOn w:val="a4"/>
    <w:next w:val="af2"/>
    <w:pPr>
      <w:jc w:val="both"/>
    </w:pPr>
    <w:rPr>
      <w:rFonts w:eastAsia="Times New Roman"/>
    </w:rPr>
    <w:tblPr/>
  </w:style>
  <w:style w:type="numbering" w:customStyle="1" w:styleId="220">
    <w:name w:val="Нет списка22"/>
    <w:next w:val="a5"/>
    <w:semiHidden/>
  </w:style>
  <w:style w:type="numbering" w:customStyle="1" w:styleId="320">
    <w:name w:val="Нет списка32"/>
    <w:next w:val="a5"/>
    <w:semiHidden/>
  </w:style>
  <w:style w:type="numbering" w:customStyle="1" w:styleId="420">
    <w:name w:val="Нет списка42"/>
    <w:next w:val="a5"/>
    <w:semiHidden/>
  </w:style>
  <w:style w:type="numbering" w:customStyle="1" w:styleId="72">
    <w:name w:val="Нет списка7"/>
    <w:next w:val="a5"/>
    <w:semiHidden/>
  </w:style>
  <w:style w:type="numbering" w:customStyle="1" w:styleId="130">
    <w:name w:val="Нет списка13"/>
    <w:next w:val="a5"/>
    <w:semiHidden/>
  </w:style>
  <w:style w:type="table" w:customStyle="1" w:styleId="3a">
    <w:name w:val="Сетка таблицы3"/>
    <w:basedOn w:val="a4"/>
    <w:next w:val="af2"/>
    <w:pPr>
      <w:jc w:val="both"/>
    </w:pPr>
    <w:rPr>
      <w:rFonts w:ascii="Times New Roman" w:eastAsia="Times New Roman" w:hAnsi="Times New Roman"/>
    </w:rPr>
    <w:tblPr/>
  </w:style>
  <w:style w:type="table" w:customStyle="1" w:styleId="45">
    <w:name w:val="Сетка таблицы4"/>
    <w:basedOn w:val="a4"/>
    <w:next w:val="af2"/>
    <w:pPr>
      <w:jc w:val="both"/>
    </w:pPr>
    <w:tblPr/>
  </w:style>
  <w:style w:type="table" w:customStyle="1" w:styleId="56">
    <w:name w:val="Сетка таблицы5"/>
    <w:basedOn w:val="a4"/>
    <w:next w:val="af2"/>
    <w:pPr>
      <w:jc w:val="both"/>
    </w:pPr>
    <w:tblPr/>
  </w:style>
  <w:style w:type="table" w:customStyle="1" w:styleId="63">
    <w:name w:val="Сетка таблицы6"/>
    <w:basedOn w:val="a4"/>
    <w:next w:val="af2"/>
    <w:tblPr/>
  </w:style>
  <w:style w:type="table" w:customStyle="1" w:styleId="73">
    <w:name w:val="Сетка таблицы7"/>
    <w:basedOn w:val="a4"/>
    <w:next w:val="af2"/>
    <w:tblPr/>
  </w:style>
  <w:style w:type="character" w:customStyle="1" w:styleId="12">
    <w:name w:val="Заголовок 1 Знак2"/>
    <w:link w:val="1"/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82">
    <w:name w:val="Сетка таблицы8"/>
    <w:basedOn w:val="a4"/>
    <w:next w:val="af2"/>
    <w:rPr>
      <w:rFonts w:ascii="Times New Roman" w:eastAsia="Times New Roman" w:hAnsi="Times New Roman"/>
    </w:rPr>
    <w:tblPr/>
  </w:style>
  <w:style w:type="numbering" w:customStyle="1" w:styleId="83">
    <w:name w:val="Нет списка8"/>
    <w:next w:val="a5"/>
    <w:semiHidden/>
  </w:style>
  <w:style w:type="numbering" w:customStyle="1" w:styleId="140">
    <w:name w:val="Нет списка14"/>
    <w:next w:val="a5"/>
    <w:semiHidden/>
  </w:style>
  <w:style w:type="numbering" w:customStyle="1" w:styleId="3b">
    <w:name w:val="НумерацияРазделовЭО3"/>
  </w:style>
  <w:style w:type="numbering" w:customStyle="1" w:styleId="113">
    <w:name w:val="Нет списка113"/>
    <w:next w:val="a5"/>
    <w:semiHidden/>
  </w:style>
  <w:style w:type="table" w:customStyle="1" w:styleId="92">
    <w:name w:val="Сетка таблицы9"/>
    <w:basedOn w:val="a4"/>
    <w:next w:val="af2"/>
    <w:rPr>
      <w:rFonts w:eastAsia="Times New Roman"/>
    </w:rPr>
    <w:tblPr/>
  </w:style>
  <w:style w:type="numbering" w:customStyle="1" w:styleId="230">
    <w:name w:val="Нет списка23"/>
    <w:next w:val="a5"/>
    <w:semiHidden/>
  </w:style>
  <w:style w:type="numbering" w:customStyle="1" w:styleId="330">
    <w:name w:val="Нет списка33"/>
    <w:next w:val="a5"/>
    <w:semiHidden/>
  </w:style>
  <w:style w:type="numbering" w:customStyle="1" w:styleId="430">
    <w:name w:val="Нет списка43"/>
    <w:next w:val="a5"/>
    <w:semiHidden/>
  </w:style>
  <w:style w:type="numbering" w:customStyle="1" w:styleId="511">
    <w:name w:val="Нет списка51"/>
    <w:next w:val="a5"/>
    <w:semiHidden/>
  </w:style>
  <w:style w:type="numbering" w:customStyle="1" w:styleId="1112">
    <w:name w:val="Нет списка1112"/>
    <w:next w:val="a5"/>
    <w:semiHidden/>
  </w:style>
  <w:style w:type="numbering" w:customStyle="1" w:styleId="114">
    <w:name w:val="НумерацияРазделовЭО11"/>
  </w:style>
  <w:style w:type="numbering" w:customStyle="1" w:styleId="11112">
    <w:name w:val="Нет списка11112"/>
    <w:next w:val="a5"/>
    <w:semiHidden/>
  </w:style>
  <w:style w:type="table" w:customStyle="1" w:styleId="115">
    <w:name w:val="Сетка таблицы11"/>
    <w:basedOn w:val="a4"/>
    <w:next w:val="af2"/>
    <w:rPr>
      <w:rFonts w:eastAsia="Times New Roman"/>
    </w:rPr>
    <w:tblPr/>
  </w:style>
  <w:style w:type="numbering" w:customStyle="1" w:styleId="212">
    <w:name w:val="Нет списка212"/>
    <w:next w:val="a5"/>
    <w:semiHidden/>
  </w:style>
  <w:style w:type="numbering" w:customStyle="1" w:styleId="3110">
    <w:name w:val="Нет списка311"/>
    <w:next w:val="a5"/>
    <w:semiHidden/>
  </w:style>
  <w:style w:type="numbering" w:customStyle="1" w:styleId="4110">
    <w:name w:val="Нет списка411"/>
    <w:next w:val="a5"/>
    <w:semiHidden/>
  </w:style>
  <w:style w:type="numbering" w:customStyle="1" w:styleId="610">
    <w:name w:val="Нет списка61"/>
    <w:next w:val="a5"/>
    <w:semiHidden/>
  </w:style>
  <w:style w:type="numbering" w:customStyle="1" w:styleId="121">
    <w:name w:val="Нет списка121"/>
    <w:next w:val="a5"/>
    <w:semiHidden/>
  </w:style>
  <w:style w:type="numbering" w:customStyle="1" w:styleId="213">
    <w:name w:val="НумерацияРазделовЭО21"/>
  </w:style>
  <w:style w:type="numbering" w:customStyle="1" w:styleId="1121">
    <w:name w:val="Нет списка1121"/>
    <w:next w:val="a5"/>
    <w:semiHidden/>
  </w:style>
  <w:style w:type="table" w:customStyle="1" w:styleId="214">
    <w:name w:val="Сетка таблицы21"/>
    <w:basedOn w:val="a4"/>
    <w:next w:val="af2"/>
    <w:rPr>
      <w:rFonts w:eastAsia="Times New Roman"/>
    </w:rPr>
    <w:tblPr/>
  </w:style>
  <w:style w:type="numbering" w:customStyle="1" w:styleId="221">
    <w:name w:val="Нет списка221"/>
    <w:next w:val="a5"/>
    <w:semiHidden/>
  </w:style>
  <w:style w:type="numbering" w:customStyle="1" w:styleId="321">
    <w:name w:val="Нет списка321"/>
    <w:next w:val="a5"/>
    <w:semiHidden/>
  </w:style>
  <w:style w:type="numbering" w:customStyle="1" w:styleId="421">
    <w:name w:val="Нет списка421"/>
    <w:next w:val="a5"/>
    <w:semiHidden/>
  </w:style>
  <w:style w:type="numbering" w:customStyle="1" w:styleId="710">
    <w:name w:val="Нет списка71"/>
    <w:next w:val="a5"/>
    <w:semiHidden/>
  </w:style>
  <w:style w:type="numbering" w:customStyle="1" w:styleId="131">
    <w:name w:val="Нет списка131"/>
    <w:next w:val="a5"/>
    <w:semiHidden/>
  </w:style>
  <w:style w:type="table" w:customStyle="1" w:styleId="312">
    <w:name w:val="Сетка таблицы31"/>
    <w:basedOn w:val="a4"/>
    <w:next w:val="af2"/>
    <w:rPr>
      <w:rFonts w:ascii="Times New Roman" w:eastAsia="Times New Roman" w:hAnsi="Times New Roman"/>
    </w:rPr>
    <w:tblPr/>
  </w:style>
  <w:style w:type="table" w:customStyle="1" w:styleId="413">
    <w:name w:val="Сетка таблицы41"/>
    <w:basedOn w:val="a4"/>
    <w:next w:val="af2"/>
    <w:tblPr/>
  </w:style>
  <w:style w:type="table" w:customStyle="1" w:styleId="512">
    <w:name w:val="Сетка таблицы51"/>
    <w:basedOn w:val="a4"/>
    <w:next w:val="af2"/>
    <w:tblPr/>
  </w:style>
  <w:style w:type="table" w:customStyle="1" w:styleId="611">
    <w:name w:val="Сетка таблицы61"/>
    <w:basedOn w:val="a4"/>
    <w:next w:val="af2"/>
    <w:tblPr/>
  </w:style>
  <w:style w:type="table" w:customStyle="1" w:styleId="711">
    <w:name w:val="Сетка таблицы71"/>
    <w:basedOn w:val="a4"/>
    <w:next w:val="af2"/>
    <w:tblPr/>
  </w:style>
  <w:style w:type="paragraph" w:customStyle="1" w:styleId="afffe">
    <w:name w:val="Обычный (тбл)"/>
    <w:basedOn w:val="a2"/>
    <w:pPr>
      <w:spacing w:before="40" w:after="80"/>
      <w:ind w:firstLine="0"/>
      <w:jc w:val="left"/>
    </w:pPr>
    <w:rPr>
      <w:bCs/>
      <w:sz w:val="22"/>
      <w:szCs w:val="18"/>
    </w:rPr>
  </w:style>
  <w:style w:type="paragraph" w:customStyle="1" w:styleId="215">
    <w:name w:val="Основной текст с отступом 21"/>
    <w:basedOn w:val="a2"/>
    <w:pPr>
      <w:spacing w:before="120"/>
    </w:pPr>
    <w:rPr>
      <w:sz w:val="24"/>
      <w:szCs w:val="20"/>
    </w:rPr>
  </w:style>
  <w:style w:type="paragraph" w:styleId="affff">
    <w:name w:val="Normal (Web)"/>
    <w:basedOn w:val="a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00">
    <w:name w:val="Сетка таблицы10"/>
    <w:basedOn w:val="a4"/>
    <w:next w:val="af2"/>
    <w:tblPr/>
  </w:style>
  <w:style w:type="paragraph" w:customStyle="1" w:styleId="1e">
    <w:name w:val="Стиль1"/>
    <w:basedOn w:val="17"/>
    <w:pPr>
      <w:widowControl w:val="0"/>
      <w:spacing w:line="240" w:lineRule="auto"/>
      <w:ind w:firstLine="0"/>
      <w:jc w:val="center"/>
    </w:pPr>
    <w:rPr>
      <w:rFonts w:ascii="Times New Roman" w:hAnsi="Times New Roman"/>
      <w:b/>
      <w:caps/>
      <w:sz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</w:rPr>
  </w:style>
  <w:style w:type="paragraph" w:customStyle="1" w:styleId="p2">
    <w:name w:val="p2"/>
    <w:basedOn w:val="a2"/>
    <w:pPr>
      <w:spacing w:before="100" w:beforeAutospacing="1" w:after="100" w:afterAutospacing="1"/>
      <w:ind w:firstLine="0"/>
    </w:pPr>
    <w:rPr>
      <w:rFonts w:ascii="Arial" w:hAnsi="Arial"/>
      <w:color w:val="000000"/>
      <w:sz w:val="20"/>
      <w:szCs w:val="20"/>
    </w:rPr>
  </w:style>
  <w:style w:type="table" w:customStyle="1" w:styleId="122">
    <w:name w:val="Сетка таблицы12"/>
    <w:basedOn w:val="a4"/>
    <w:next w:val="af2"/>
    <w:tblPr/>
  </w:style>
  <w:style w:type="numbering" w:customStyle="1" w:styleId="93">
    <w:name w:val="Нет списка9"/>
    <w:next w:val="a5"/>
    <w:semiHidden/>
  </w:style>
  <w:style w:type="numbering" w:customStyle="1" w:styleId="150">
    <w:name w:val="Нет списка15"/>
    <w:next w:val="a5"/>
    <w:semiHidden/>
  </w:style>
  <w:style w:type="numbering" w:customStyle="1" w:styleId="1140">
    <w:name w:val="Нет списка114"/>
    <w:next w:val="a5"/>
    <w:semiHidden/>
  </w:style>
  <w:style w:type="table" w:customStyle="1" w:styleId="132">
    <w:name w:val="Сетка таблицы13"/>
    <w:basedOn w:val="a4"/>
    <w:next w:val="af2"/>
    <w:rPr>
      <w:rFonts w:eastAsia="Times New Roman"/>
    </w:rPr>
    <w:tblPr/>
  </w:style>
  <w:style w:type="numbering" w:customStyle="1" w:styleId="1111111">
    <w:name w:val="Нет списка1111111"/>
    <w:next w:val="a5"/>
    <w:semiHidden/>
  </w:style>
  <w:style w:type="numbering" w:customStyle="1" w:styleId="11111111">
    <w:name w:val="Нет списка11111111"/>
    <w:next w:val="a5"/>
    <w:semiHidden/>
  </w:style>
  <w:style w:type="table" w:customStyle="1" w:styleId="141">
    <w:name w:val="Сетка таблицы14"/>
    <w:basedOn w:val="a4"/>
    <w:next w:val="af2"/>
    <w:rPr>
      <w:rFonts w:eastAsia="Times New Roman"/>
    </w:rPr>
    <w:tblPr/>
  </w:style>
  <w:style w:type="table" w:customStyle="1" w:styleId="810">
    <w:name w:val="Сетка таблицы81"/>
    <w:basedOn w:val="a4"/>
    <w:next w:val="af2"/>
    <w:rPr>
      <w:rFonts w:ascii="Times New Roman" w:eastAsia="Times New Roman" w:hAnsi="Times New Roman"/>
    </w:rPr>
    <w:tblPr/>
  </w:style>
  <w:style w:type="table" w:customStyle="1" w:styleId="910">
    <w:name w:val="Сетка таблицы91"/>
    <w:basedOn w:val="a4"/>
    <w:next w:val="af2"/>
    <w:tblPr/>
  </w:style>
  <w:style w:type="paragraph" w:customStyle="1" w:styleId="222">
    <w:name w:val="Основной текст с отступом 22"/>
    <w:basedOn w:val="a2"/>
    <w:pPr>
      <w:spacing w:before="120"/>
    </w:pPr>
    <w:rPr>
      <w:sz w:val="24"/>
      <w:szCs w:val="20"/>
    </w:rPr>
  </w:style>
  <w:style w:type="paragraph" w:customStyle="1" w:styleId="3c">
    <w:name w:val="заголовок 3"/>
    <w:basedOn w:val="a2"/>
    <w:next w:val="a2"/>
    <w:pPr>
      <w:keepNext/>
      <w:ind w:firstLine="720"/>
    </w:pPr>
    <w:rPr>
      <w:sz w:val="24"/>
      <w:szCs w:val="20"/>
    </w:rPr>
  </w:style>
  <w:style w:type="paragraph" w:customStyle="1" w:styleId="E22">
    <w:name w:val="Основной тексE2 с отступом 2"/>
    <w:basedOn w:val="a2"/>
    <w:pPr>
      <w:widowControl w:val="0"/>
      <w:ind w:firstLine="720"/>
    </w:pPr>
    <w:rPr>
      <w:sz w:val="24"/>
      <w:szCs w:val="24"/>
    </w:rPr>
  </w:style>
  <w:style w:type="paragraph" w:customStyle="1" w:styleId="caaieiaie5">
    <w:name w:val="caaieiaie 5"/>
    <w:basedOn w:val="a2"/>
    <w:next w:val="a2"/>
    <w:pPr>
      <w:keepNext/>
      <w:ind w:firstLine="0"/>
      <w:jc w:val="left"/>
    </w:pPr>
    <w:rPr>
      <w:b/>
      <w:sz w:val="24"/>
      <w:szCs w:val="20"/>
    </w:rPr>
  </w:style>
  <w:style w:type="paragraph" w:customStyle="1" w:styleId="313">
    <w:name w:val="Основной текст с отступом 31"/>
    <w:basedOn w:val="a2"/>
    <w:pPr>
      <w:spacing w:after="120" w:line="280" w:lineRule="exact"/>
      <w:ind w:firstLine="567"/>
    </w:pPr>
    <w:rPr>
      <w:rFonts w:ascii="Arial" w:hAnsi="Arial"/>
      <w:sz w:val="22"/>
      <w:szCs w:val="20"/>
    </w:rPr>
  </w:style>
  <w:style w:type="paragraph" w:customStyle="1" w:styleId="ConsPlusCell">
    <w:name w:val="ConsPlusCel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сновной текст с отступом1"/>
    <w:basedOn w:val="a2"/>
    <w:pPr>
      <w:spacing w:before="120"/>
    </w:pPr>
    <w:rPr>
      <w:sz w:val="24"/>
      <w:szCs w:val="22"/>
    </w:rPr>
  </w:style>
  <w:style w:type="paragraph" w:customStyle="1" w:styleId="1f0">
    <w:name w:val="Текст выноски1"/>
    <w:basedOn w:val="a2"/>
    <w:pPr>
      <w:ind w:firstLine="0"/>
      <w:jc w:val="left"/>
    </w:pPr>
    <w:rPr>
      <w:rFonts w:ascii="Tahoma" w:hAnsi="Tahoma"/>
      <w:sz w:val="16"/>
      <w:szCs w:val="16"/>
    </w:rPr>
  </w:style>
  <w:style w:type="paragraph" w:customStyle="1" w:styleId="1f1">
    <w:name w:val="Абзац списка1"/>
    <w:basedOn w:val="a2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16">
    <w:name w:val="Основной текст 21"/>
    <w:basedOn w:val="a2"/>
    <w:pPr>
      <w:tabs>
        <w:tab w:val="right" w:pos="7938"/>
      </w:tabs>
    </w:pPr>
    <w:rPr>
      <w:sz w:val="24"/>
      <w:szCs w:val="20"/>
    </w:rPr>
  </w:style>
  <w:style w:type="character" w:customStyle="1" w:styleId="1f2">
    <w:name w:val="Текст выноски Знак1"/>
    <w:semiHidden/>
    <w:rPr>
      <w:rFonts w:ascii="Tahoma" w:hAnsi="Tahoma"/>
      <w:sz w:val="16"/>
      <w:szCs w:val="16"/>
      <w:lang w:eastAsia="en-US"/>
    </w:rPr>
  </w:style>
  <w:style w:type="paragraph" w:customStyle="1" w:styleId="46">
    <w:name w:val="заголовок 4"/>
    <w:basedOn w:val="a2"/>
    <w:next w:val="a2"/>
    <w:pPr>
      <w:keepNext/>
      <w:spacing w:before="120"/>
      <w:ind w:firstLine="0"/>
      <w:jc w:val="center"/>
    </w:pPr>
    <w:rPr>
      <w:sz w:val="24"/>
      <w:szCs w:val="20"/>
    </w:rPr>
  </w:style>
  <w:style w:type="numbering" w:customStyle="1" w:styleId="3120">
    <w:name w:val="Нет списка312"/>
    <w:next w:val="a5"/>
    <w:semiHidden/>
  </w:style>
  <w:style w:type="numbering" w:customStyle="1" w:styleId="1220">
    <w:name w:val="Нет списка122"/>
    <w:next w:val="a5"/>
    <w:semiHidden/>
  </w:style>
  <w:style w:type="numbering" w:customStyle="1" w:styleId="811">
    <w:name w:val="Нет списка81"/>
    <w:next w:val="a5"/>
    <w:semiHidden/>
  </w:style>
  <w:style w:type="numbering" w:customStyle="1" w:styleId="1410">
    <w:name w:val="Нет списка141"/>
    <w:next w:val="a5"/>
    <w:semiHidden/>
  </w:style>
  <w:style w:type="table" w:customStyle="1" w:styleId="1113">
    <w:name w:val="Сетка таблицы111"/>
    <w:basedOn w:val="a4"/>
    <w:next w:val="af2"/>
    <w:rPr>
      <w:rFonts w:ascii="Times New Roman" w:eastAsia="Times New Roman" w:hAnsi="Times New Roman"/>
    </w:rPr>
    <w:tblPr/>
  </w:style>
  <w:style w:type="numbering" w:customStyle="1" w:styleId="1131">
    <w:name w:val="Нет списка1131"/>
    <w:next w:val="a5"/>
    <w:semiHidden/>
  </w:style>
  <w:style w:type="table" w:customStyle="1" w:styleId="1210">
    <w:name w:val="Сетка таблицы121"/>
    <w:basedOn w:val="a4"/>
    <w:next w:val="af2"/>
    <w:tblPr/>
  </w:style>
  <w:style w:type="numbering" w:customStyle="1" w:styleId="314">
    <w:name w:val="НумерацияРазделовЭО31"/>
  </w:style>
  <w:style w:type="numbering" w:customStyle="1" w:styleId="11121">
    <w:name w:val="Нет списка11121"/>
    <w:next w:val="a5"/>
    <w:semiHidden/>
  </w:style>
  <w:style w:type="numbering" w:customStyle="1" w:styleId="231">
    <w:name w:val="Нет списка231"/>
    <w:next w:val="a5"/>
    <w:semiHidden/>
  </w:style>
  <w:style w:type="numbering" w:customStyle="1" w:styleId="331">
    <w:name w:val="Нет списка331"/>
    <w:next w:val="a5"/>
    <w:semiHidden/>
  </w:style>
  <w:style w:type="numbering" w:customStyle="1" w:styleId="431">
    <w:name w:val="Нет списка431"/>
    <w:next w:val="a5"/>
    <w:semiHidden/>
  </w:style>
  <w:style w:type="numbering" w:customStyle="1" w:styleId="5110">
    <w:name w:val="Нет списка511"/>
    <w:next w:val="a5"/>
    <w:semiHidden/>
  </w:style>
  <w:style w:type="numbering" w:customStyle="1" w:styleId="1114">
    <w:name w:val="НумерацияРазделовЭО111"/>
  </w:style>
  <w:style w:type="numbering" w:customStyle="1" w:styleId="111111111">
    <w:name w:val="Нет списка111111111"/>
    <w:next w:val="a5"/>
    <w:semiHidden/>
  </w:style>
  <w:style w:type="numbering" w:customStyle="1" w:styleId="2111">
    <w:name w:val="Нет списка2111"/>
    <w:next w:val="a5"/>
    <w:semiHidden/>
  </w:style>
  <w:style w:type="numbering" w:customStyle="1" w:styleId="3111">
    <w:name w:val="Нет списка3111"/>
    <w:next w:val="a5"/>
    <w:semiHidden/>
  </w:style>
  <w:style w:type="numbering" w:customStyle="1" w:styleId="4111">
    <w:name w:val="Нет списка4111"/>
    <w:next w:val="a5"/>
    <w:semiHidden/>
  </w:style>
  <w:style w:type="numbering" w:customStyle="1" w:styleId="6110">
    <w:name w:val="Нет списка611"/>
    <w:next w:val="a5"/>
    <w:semiHidden/>
  </w:style>
  <w:style w:type="numbering" w:customStyle="1" w:styleId="1211">
    <w:name w:val="Нет списка1211"/>
    <w:next w:val="a5"/>
    <w:semiHidden/>
  </w:style>
  <w:style w:type="numbering" w:customStyle="1" w:styleId="2112">
    <w:name w:val="НумерацияРазделовЭО211"/>
  </w:style>
  <w:style w:type="numbering" w:customStyle="1" w:styleId="11211">
    <w:name w:val="Нет списка11211"/>
    <w:next w:val="a5"/>
    <w:semiHidden/>
  </w:style>
  <w:style w:type="numbering" w:customStyle="1" w:styleId="2211">
    <w:name w:val="Нет списка2211"/>
    <w:next w:val="a5"/>
    <w:semiHidden/>
  </w:style>
  <w:style w:type="numbering" w:customStyle="1" w:styleId="3211">
    <w:name w:val="Нет списка3211"/>
    <w:next w:val="a5"/>
    <w:semiHidden/>
  </w:style>
  <w:style w:type="numbering" w:customStyle="1" w:styleId="4211">
    <w:name w:val="Нет списка4211"/>
    <w:next w:val="a5"/>
    <w:semiHidden/>
  </w:style>
  <w:style w:type="numbering" w:customStyle="1" w:styleId="7110">
    <w:name w:val="Нет списка711"/>
    <w:next w:val="a5"/>
    <w:semiHidden/>
  </w:style>
  <w:style w:type="numbering" w:customStyle="1" w:styleId="1311">
    <w:name w:val="Нет списка1311"/>
    <w:next w:val="a5"/>
    <w:semiHidden/>
  </w:style>
  <w:style w:type="numbering" w:customStyle="1" w:styleId="101">
    <w:name w:val="Нет списка10"/>
    <w:next w:val="a5"/>
    <w:semiHidden/>
  </w:style>
  <w:style w:type="numbering" w:customStyle="1" w:styleId="160">
    <w:name w:val="Нет списка16"/>
    <w:next w:val="a5"/>
    <w:semiHidden/>
  </w:style>
  <w:style w:type="numbering" w:customStyle="1" w:styleId="1150">
    <w:name w:val="Нет списка115"/>
    <w:next w:val="a5"/>
    <w:semiHidden/>
  </w:style>
  <w:style w:type="numbering" w:customStyle="1" w:styleId="47">
    <w:name w:val="НумерацияРазделовЭО4"/>
  </w:style>
  <w:style w:type="numbering" w:customStyle="1" w:styleId="11130">
    <w:name w:val="Нет списка1113"/>
    <w:next w:val="a5"/>
    <w:semiHidden/>
  </w:style>
  <w:style w:type="table" w:customStyle="1" w:styleId="151">
    <w:name w:val="Сетка таблицы15"/>
    <w:basedOn w:val="a4"/>
    <w:next w:val="af2"/>
    <w:rPr>
      <w:rFonts w:eastAsia="Times New Roman"/>
    </w:rPr>
    <w:tblPr/>
  </w:style>
  <w:style w:type="numbering" w:customStyle="1" w:styleId="240">
    <w:name w:val="Нет списка24"/>
    <w:next w:val="a5"/>
    <w:semiHidden/>
  </w:style>
  <w:style w:type="numbering" w:customStyle="1" w:styleId="340">
    <w:name w:val="Нет списка34"/>
    <w:next w:val="a5"/>
    <w:semiHidden/>
  </w:style>
  <w:style w:type="numbering" w:customStyle="1" w:styleId="440">
    <w:name w:val="Нет списка44"/>
    <w:next w:val="a5"/>
    <w:semiHidden/>
  </w:style>
  <w:style w:type="numbering" w:customStyle="1" w:styleId="520">
    <w:name w:val="Нет списка52"/>
    <w:next w:val="a5"/>
    <w:semiHidden/>
  </w:style>
  <w:style w:type="numbering" w:customStyle="1" w:styleId="11113">
    <w:name w:val="Нет списка11113"/>
    <w:next w:val="a5"/>
    <w:semiHidden/>
  </w:style>
  <w:style w:type="numbering" w:customStyle="1" w:styleId="123">
    <w:name w:val="НумерацияРазделовЭО12"/>
  </w:style>
  <w:style w:type="numbering" w:customStyle="1" w:styleId="111112">
    <w:name w:val="Нет списка111112"/>
    <w:next w:val="a5"/>
    <w:semiHidden/>
  </w:style>
  <w:style w:type="table" w:customStyle="1" w:styleId="161">
    <w:name w:val="Сетка таблицы16"/>
    <w:basedOn w:val="a4"/>
    <w:next w:val="af2"/>
    <w:rPr>
      <w:rFonts w:eastAsia="Times New Roman"/>
    </w:rPr>
    <w:tblPr/>
  </w:style>
  <w:style w:type="numbering" w:customStyle="1" w:styleId="2130">
    <w:name w:val="Нет списка213"/>
    <w:next w:val="a5"/>
    <w:semiHidden/>
  </w:style>
  <w:style w:type="numbering" w:customStyle="1" w:styleId="3130">
    <w:name w:val="Нет списка313"/>
    <w:next w:val="a5"/>
    <w:semiHidden/>
  </w:style>
  <w:style w:type="numbering" w:customStyle="1" w:styleId="4120">
    <w:name w:val="Нет списка412"/>
    <w:next w:val="a5"/>
    <w:semiHidden/>
  </w:style>
  <w:style w:type="numbering" w:customStyle="1" w:styleId="620">
    <w:name w:val="Нет списка62"/>
    <w:next w:val="a5"/>
    <w:semiHidden/>
  </w:style>
  <w:style w:type="numbering" w:customStyle="1" w:styleId="1230">
    <w:name w:val="Нет списка123"/>
    <w:next w:val="a5"/>
    <w:semiHidden/>
  </w:style>
  <w:style w:type="numbering" w:customStyle="1" w:styleId="223">
    <w:name w:val="НумерацияРазделовЭО22"/>
  </w:style>
  <w:style w:type="numbering" w:customStyle="1" w:styleId="1122">
    <w:name w:val="Нет списка1122"/>
    <w:next w:val="a5"/>
    <w:semiHidden/>
  </w:style>
  <w:style w:type="table" w:customStyle="1" w:styleId="224">
    <w:name w:val="Сетка таблицы22"/>
    <w:basedOn w:val="a4"/>
    <w:next w:val="af2"/>
    <w:rPr>
      <w:rFonts w:eastAsia="Times New Roman"/>
    </w:rPr>
    <w:tblPr/>
  </w:style>
  <w:style w:type="numbering" w:customStyle="1" w:styleId="2220">
    <w:name w:val="Нет списка222"/>
    <w:next w:val="a5"/>
    <w:semiHidden/>
  </w:style>
  <w:style w:type="numbering" w:customStyle="1" w:styleId="322">
    <w:name w:val="Нет списка322"/>
    <w:next w:val="a5"/>
    <w:semiHidden/>
  </w:style>
  <w:style w:type="numbering" w:customStyle="1" w:styleId="422">
    <w:name w:val="Нет списка422"/>
    <w:next w:val="a5"/>
    <w:semiHidden/>
  </w:style>
  <w:style w:type="numbering" w:customStyle="1" w:styleId="720">
    <w:name w:val="Нет списка72"/>
    <w:next w:val="a5"/>
    <w:semiHidden/>
  </w:style>
  <w:style w:type="numbering" w:customStyle="1" w:styleId="1320">
    <w:name w:val="Нет списка132"/>
    <w:next w:val="a5"/>
    <w:semiHidden/>
  </w:style>
  <w:style w:type="table" w:customStyle="1" w:styleId="323">
    <w:name w:val="Сетка таблицы32"/>
    <w:basedOn w:val="a4"/>
    <w:next w:val="af2"/>
    <w:rPr>
      <w:rFonts w:ascii="Times New Roman" w:eastAsia="Times New Roman" w:hAnsi="Times New Roman"/>
    </w:rPr>
    <w:tblPr/>
  </w:style>
  <w:style w:type="table" w:customStyle="1" w:styleId="423">
    <w:name w:val="Сетка таблицы42"/>
    <w:basedOn w:val="a4"/>
    <w:next w:val="af2"/>
    <w:tblPr/>
  </w:style>
  <w:style w:type="table" w:customStyle="1" w:styleId="521">
    <w:name w:val="Сетка таблицы52"/>
    <w:basedOn w:val="a4"/>
    <w:next w:val="af2"/>
    <w:tblPr/>
  </w:style>
  <w:style w:type="table" w:customStyle="1" w:styleId="621">
    <w:name w:val="Сетка таблицы62"/>
    <w:basedOn w:val="a4"/>
    <w:next w:val="af2"/>
    <w:tblPr/>
  </w:style>
  <w:style w:type="table" w:customStyle="1" w:styleId="721">
    <w:name w:val="Сетка таблицы72"/>
    <w:basedOn w:val="a4"/>
    <w:next w:val="af2"/>
    <w:tblPr/>
  </w:style>
  <w:style w:type="table" w:customStyle="1" w:styleId="820">
    <w:name w:val="Сетка таблицы82"/>
    <w:basedOn w:val="a4"/>
    <w:next w:val="af2"/>
    <w:rPr>
      <w:rFonts w:ascii="Times New Roman" w:eastAsia="Times New Roman" w:hAnsi="Times New Roman"/>
    </w:rPr>
    <w:tblPr/>
  </w:style>
  <w:style w:type="table" w:customStyle="1" w:styleId="920">
    <w:name w:val="Сетка таблицы92"/>
    <w:basedOn w:val="a4"/>
    <w:next w:val="af2"/>
    <w:tblPr/>
  </w:style>
  <w:style w:type="table" w:customStyle="1" w:styleId="1010">
    <w:name w:val="Сетка таблицы101"/>
    <w:basedOn w:val="a4"/>
    <w:next w:val="af2"/>
    <w:tblPr/>
  </w:style>
  <w:style w:type="numbering" w:customStyle="1" w:styleId="821">
    <w:name w:val="Нет списка82"/>
    <w:next w:val="a5"/>
    <w:semiHidden/>
  </w:style>
  <w:style w:type="numbering" w:customStyle="1" w:styleId="142">
    <w:name w:val="Нет списка142"/>
    <w:next w:val="a5"/>
    <w:semiHidden/>
  </w:style>
  <w:style w:type="table" w:customStyle="1" w:styleId="1123">
    <w:name w:val="Сетка таблицы112"/>
    <w:basedOn w:val="a4"/>
    <w:next w:val="af2"/>
    <w:rPr>
      <w:rFonts w:ascii="Times New Roman" w:eastAsia="Times New Roman" w:hAnsi="Times New Roman"/>
    </w:rPr>
    <w:tblPr/>
  </w:style>
  <w:style w:type="numbering" w:customStyle="1" w:styleId="1132">
    <w:name w:val="Нет списка1132"/>
    <w:next w:val="a5"/>
    <w:semiHidden/>
  </w:style>
  <w:style w:type="table" w:customStyle="1" w:styleId="1221">
    <w:name w:val="Сетка таблицы122"/>
    <w:basedOn w:val="a4"/>
    <w:next w:val="af2"/>
    <w:tblPr/>
  </w:style>
  <w:style w:type="numbering" w:customStyle="1" w:styleId="911">
    <w:name w:val="Нет списка91"/>
    <w:next w:val="a5"/>
    <w:semiHidden/>
  </w:style>
  <w:style w:type="numbering" w:customStyle="1" w:styleId="1510">
    <w:name w:val="Нет списка151"/>
    <w:next w:val="a5"/>
    <w:semiHidden/>
  </w:style>
  <w:style w:type="numbering" w:customStyle="1" w:styleId="1141">
    <w:name w:val="Нет списка1141"/>
    <w:next w:val="a5"/>
    <w:semiHidden/>
  </w:style>
  <w:style w:type="numbering" w:customStyle="1" w:styleId="324">
    <w:name w:val="НумерацияРазделовЭО32"/>
  </w:style>
  <w:style w:type="numbering" w:customStyle="1" w:styleId="11122">
    <w:name w:val="Нет списка11122"/>
    <w:next w:val="a5"/>
    <w:semiHidden/>
  </w:style>
  <w:style w:type="table" w:customStyle="1" w:styleId="1310">
    <w:name w:val="Сетка таблицы131"/>
    <w:basedOn w:val="a4"/>
    <w:next w:val="af2"/>
    <w:rPr>
      <w:rFonts w:eastAsia="Times New Roman"/>
    </w:rPr>
    <w:tblPr/>
  </w:style>
  <w:style w:type="numbering" w:customStyle="1" w:styleId="232">
    <w:name w:val="Нет списка232"/>
    <w:next w:val="a5"/>
    <w:semiHidden/>
  </w:style>
  <w:style w:type="numbering" w:customStyle="1" w:styleId="332">
    <w:name w:val="Нет списка332"/>
    <w:next w:val="a5"/>
    <w:semiHidden/>
  </w:style>
  <w:style w:type="numbering" w:customStyle="1" w:styleId="432">
    <w:name w:val="Нет списка432"/>
    <w:next w:val="a5"/>
    <w:semiHidden/>
  </w:style>
  <w:style w:type="numbering" w:customStyle="1" w:styleId="5120">
    <w:name w:val="Нет списка512"/>
    <w:next w:val="a5"/>
    <w:semiHidden/>
  </w:style>
  <w:style w:type="numbering" w:customStyle="1" w:styleId="1111112">
    <w:name w:val="Нет списка1111112"/>
    <w:next w:val="a5"/>
    <w:semiHidden/>
  </w:style>
  <w:style w:type="numbering" w:customStyle="1" w:styleId="1124">
    <w:name w:val="НумерацияРазделовЭО112"/>
  </w:style>
  <w:style w:type="numbering" w:customStyle="1" w:styleId="11111112">
    <w:name w:val="Нет списка11111112"/>
    <w:next w:val="a5"/>
    <w:semiHidden/>
  </w:style>
  <w:style w:type="table" w:customStyle="1" w:styleId="1411">
    <w:name w:val="Сетка таблицы141"/>
    <w:basedOn w:val="a4"/>
    <w:next w:val="af2"/>
    <w:rPr>
      <w:rFonts w:eastAsia="Times New Roman"/>
    </w:rPr>
    <w:tblPr/>
  </w:style>
  <w:style w:type="numbering" w:customStyle="1" w:styleId="21120">
    <w:name w:val="Нет списка2112"/>
    <w:next w:val="a5"/>
    <w:semiHidden/>
  </w:style>
  <w:style w:type="numbering" w:customStyle="1" w:styleId="3112">
    <w:name w:val="Нет списка3112"/>
    <w:next w:val="a5"/>
    <w:semiHidden/>
  </w:style>
  <w:style w:type="numbering" w:customStyle="1" w:styleId="4112">
    <w:name w:val="Нет списка4112"/>
    <w:next w:val="a5"/>
    <w:semiHidden/>
  </w:style>
  <w:style w:type="numbering" w:customStyle="1" w:styleId="612">
    <w:name w:val="Нет списка612"/>
    <w:next w:val="a5"/>
    <w:semiHidden/>
  </w:style>
  <w:style w:type="numbering" w:customStyle="1" w:styleId="1212">
    <w:name w:val="Нет списка1212"/>
    <w:next w:val="a5"/>
    <w:semiHidden/>
  </w:style>
  <w:style w:type="numbering" w:customStyle="1" w:styleId="2120">
    <w:name w:val="НумерацияРазделовЭО212"/>
  </w:style>
  <w:style w:type="numbering" w:customStyle="1" w:styleId="11212">
    <w:name w:val="Нет списка11212"/>
    <w:next w:val="a5"/>
    <w:semiHidden/>
  </w:style>
  <w:style w:type="table" w:customStyle="1" w:styleId="2113">
    <w:name w:val="Сетка таблицы211"/>
    <w:basedOn w:val="a4"/>
    <w:next w:val="af2"/>
    <w:rPr>
      <w:rFonts w:eastAsia="Times New Roman"/>
    </w:rPr>
    <w:tblPr/>
  </w:style>
  <w:style w:type="numbering" w:customStyle="1" w:styleId="2212">
    <w:name w:val="Нет списка2212"/>
    <w:next w:val="a5"/>
    <w:semiHidden/>
  </w:style>
  <w:style w:type="numbering" w:customStyle="1" w:styleId="3212">
    <w:name w:val="Нет списка3212"/>
    <w:next w:val="a5"/>
    <w:semiHidden/>
  </w:style>
  <w:style w:type="numbering" w:customStyle="1" w:styleId="4212">
    <w:name w:val="Нет списка4212"/>
    <w:next w:val="a5"/>
    <w:semiHidden/>
  </w:style>
  <w:style w:type="numbering" w:customStyle="1" w:styleId="712">
    <w:name w:val="Нет списка712"/>
    <w:next w:val="a5"/>
    <w:semiHidden/>
  </w:style>
  <w:style w:type="numbering" w:customStyle="1" w:styleId="1312">
    <w:name w:val="Нет списка1312"/>
    <w:next w:val="a5"/>
    <w:semiHidden/>
  </w:style>
  <w:style w:type="table" w:customStyle="1" w:styleId="3113">
    <w:name w:val="Сетка таблицы311"/>
    <w:basedOn w:val="a4"/>
    <w:next w:val="af2"/>
    <w:rPr>
      <w:rFonts w:ascii="Times New Roman" w:eastAsia="Times New Roman" w:hAnsi="Times New Roman"/>
    </w:rPr>
    <w:tblPr/>
  </w:style>
  <w:style w:type="table" w:customStyle="1" w:styleId="4113">
    <w:name w:val="Сетка таблицы411"/>
    <w:basedOn w:val="a4"/>
    <w:next w:val="af2"/>
    <w:tblPr/>
  </w:style>
  <w:style w:type="table" w:customStyle="1" w:styleId="5111">
    <w:name w:val="Сетка таблицы511"/>
    <w:basedOn w:val="a4"/>
    <w:next w:val="af2"/>
    <w:tblPr/>
  </w:style>
  <w:style w:type="table" w:customStyle="1" w:styleId="6111">
    <w:name w:val="Сетка таблицы611"/>
    <w:basedOn w:val="a4"/>
    <w:next w:val="af2"/>
    <w:tblPr/>
  </w:style>
  <w:style w:type="table" w:customStyle="1" w:styleId="7111">
    <w:name w:val="Сетка таблицы711"/>
    <w:basedOn w:val="a4"/>
    <w:next w:val="af2"/>
    <w:tblPr/>
  </w:style>
  <w:style w:type="table" w:customStyle="1" w:styleId="8110">
    <w:name w:val="Сетка таблицы811"/>
    <w:basedOn w:val="a4"/>
    <w:next w:val="af2"/>
    <w:rPr>
      <w:rFonts w:ascii="Times New Roman" w:eastAsia="Times New Roman" w:hAnsi="Times New Roman"/>
    </w:rPr>
    <w:tblPr/>
  </w:style>
  <w:style w:type="table" w:customStyle="1" w:styleId="9110">
    <w:name w:val="Сетка таблицы911"/>
    <w:basedOn w:val="a4"/>
    <w:next w:val="af2"/>
    <w:tblPr/>
  </w:style>
  <w:style w:type="paragraph" w:customStyle="1" w:styleId="affff0">
    <w:name w:val="Заголовок"/>
    <w:basedOn w:val="a2"/>
    <w:next w:val="a2"/>
    <w:link w:val="affff1"/>
    <w:pPr>
      <w:contextualSpacing/>
    </w:pPr>
    <w:rPr>
      <w:rFonts w:ascii="Calibri Light" w:hAnsi="Calibri Light"/>
      <w:spacing w:val="-10"/>
      <w:sz w:val="56"/>
      <w:szCs w:val="56"/>
      <w:lang w:val="en-US"/>
    </w:rPr>
  </w:style>
  <w:style w:type="character" w:customStyle="1" w:styleId="affff1">
    <w:name w:val="Заголовок Знак"/>
    <w:link w:val="affff0"/>
    <w:rPr>
      <w:rFonts w:ascii="Calibri Light" w:eastAsia="Times New Roman" w:hAnsi="Calibri Light"/>
      <w:spacing w:val="-10"/>
      <w:sz w:val="56"/>
      <w:szCs w:val="56"/>
      <w:lang w:eastAsia="ru-RU"/>
    </w:rPr>
  </w:style>
  <w:style w:type="character" w:customStyle="1" w:styleId="blk">
    <w:name w:val="blk"/>
    <w:basedOn w:val="a3"/>
  </w:style>
  <w:style w:type="character" w:customStyle="1" w:styleId="w">
    <w:name w:val="w"/>
    <w:basedOn w:val="a3"/>
  </w:style>
  <w:style w:type="character" w:styleId="affff2">
    <w:name w:val="Emphasis"/>
    <w:rPr>
      <w:i/>
      <w:iCs/>
    </w:rPr>
  </w:style>
  <w:style w:type="character" w:styleId="affff3">
    <w:name w:val="Strong"/>
    <w:uiPriority w:val="22"/>
    <w:qFormat/>
    <w:rPr>
      <w:b/>
      <w:bCs/>
    </w:rPr>
  </w:style>
  <w:style w:type="character" w:customStyle="1" w:styleId="src2">
    <w:name w:val="src2"/>
    <w:basedOn w:val="a3"/>
  </w:style>
  <w:style w:type="character" w:customStyle="1" w:styleId="mail-user-avatar">
    <w:name w:val="mail-user-avatar"/>
    <w:basedOn w:val="a3"/>
  </w:style>
  <w:style w:type="paragraph" w:customStyle="1" w:styleId="formattext">
    <w:name w:val="formattext"/>
    <w:basedOn w:val="a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BB22D9F88F94C9DBD9233DA9562E59D13AD6B76D6450C28D41B1D1E432230BD77129BD15941F11C14236D37B7C1F7E3D528DC517DZ7jFI" TargetMode="External"/><Relationship Id="rId13" Type="http://schemas.openxmlformats.org/officeDocument/2006/relationships/hyperlink" Target="https://neftegaz.ru/tech-library/transportirovka-i-khranenie/556397-odorizatsiya-gaza-/?lang=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864644.2000" TargetMode="External"/><Relationship Id="rId12" Type="http://schemas.openxmlformats.org/officeDocument/2006/relationships/hyperlink" Target="https://ru.wikipedia.org/wiki/%D0%A1%D0%BC%D0%B5%D1%81%D1%8C" TargetMode="External"/><Relationship Id="rId17" Type="http://schemas.openxmlformats.org/officeDocument/2006/relationships/hyperlink" Target="https://ru.wikipedia.org/wiki/%D0%A2%D0%B5%D1%80%D1%80%D0%B8%D1%82%D0%BE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3%D1%80%D0%B8%D1%81%D1%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1%82%D1%80%D0%BE%D0%B8%D1%82%D0%B5%D0%BB%D1%8C%D0%BD%D1%8B%D0%B9_%D0%BC%D0%B0%D1%82%D0%B5%D1%80%D0%B8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1%8B%D1%82%D0%BE%D0%B2%D0%BE%D0%B5_%D0%BE%D0%B1%D1%81%D0%BB%D1%83%D0%B6%D0%B8%D0%B2%D0%B0%D0%BD%D0%B8%D0%B5" TargetMode="External"/><Relationship Id="rId10" Type="http://schemas.openxmlformats.org/officeDocument/2006/relationships/hyperlink" Target="https://login.consultant.ru/link/?req=doc&amp;base=LAW&amp;n=463125&amp;dst=1000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87&amp;dst=100009" TargetMode="External"/><Relationship Id="rId14" Type="http://schemas.openxmlformats.org/officeDocument/2006/relationships/hyperlink" Target="https://ru.wikipedia.org/wiki/%D0%9E%D0%B1%D1%89%D0%B5%D1%81%D1%82%D0%B2%D0%B5%D0%BD%D0%BD%D0%BE%D0%B5_%D0%BF%D0%B8%D1%82%D0%B0%D0%BD%D0%B8%D0%B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85D92A8521CAB96DE090386102631900BD913158CD1BC675F7A9D74E82E4AFFE5343DBB29570EA9MEp7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21519</Words>
  <Characters>122660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Сигай Лариса Федоровна</dc:creator>
  <cp:lastModifiedBy>User</cp:lastModifiedBy>
  <cp:revision>2</cp:revision>
  <dcterms:created xsi:type="dcterms:W3CDTF">2024-01-25T06:30:00Z</dcterms:created>
  <dcterms:modified xsi:type="dcterms:W3CDTF">2024-01-25T06:30:00Z</dcterms:modified>
</cp:coreProperties>
</file>